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18A0" w:rsidRDefault="003F719C" w:rsidP="002318A0">
      <w:pPr>
        <w:spacing w:after="112" w:line="216" w:lineRule="auto"/>
        <w:ind w:left="-9214" w:right="-3626"/>
        <w:jc w:val="left"/>
        <w:rPr>
          <w:rFonts w:ascii="Calibri" w:eastAsia="Calibri" w:hAnsi="Calibri" w:cs="Calibri"/>
          <w:b/>
          <w:sz w:val="36"/>
        </w:rPr>
      </w:pPr>
      <w:r>
        <w:rPr>
          <w:rFonts w:ascii="Calibri" w:eastAsia="Calibri" w:hAnsi="Calibri" w:cs="Calibri"/>
          <w:b/>
          <w:sz w:val="36"/>
        </w:rPr>
        <w:t xml:space="preserve">Association between mobility patterns and COVID-19 </w:t>
      </w:r>
      <w:r>
        <w:rPr>
          <w:rFonts w:ascii="Calibri" w:eastAsia="Calibri" w:hAnsi="Calibri" w:cs="Calibri"/>
          <w:b/>
          <w:sz w:val="36"/>
        </w:rPr>
        <w:tab/>
      </w:r>
      <w:r>
        <w:rPr>
          <w:rFonts w:ascii="Calibri" w:eastAsia="Calibri" w:hAnsi="Calibri" w:cs="Calibri"/>
          <w:noProof/>
          <w:color w:val="000000"/>
          <w:sz w:val="22"/>
        </w:rPr>
        <mc:AlternateContent>
          <mc:Choice Requires="wpg">
            <w:drawing>
              <wp:inline distT="0" distB="0" distL="0" distR="0">
                <wp:extent cx="701611" cy="328609"/>
                <wp:effectExtent l="0" t="0" r="0" b="0"/>
                <wp:docPr id="547202" name="Group 547202"/>
                <wp:cNvGraphicFramePr/>
                <a:graphic xmlns:a="http://schemas.openxmlformats.org/drawingml/2006/main">
                  <a:graphicData uri="http://schemas.microsoft.com/office/word/2010/wordprocessingGroup">
                    <wpg:wgp>
                      <wpg:cNvGrpSpPr/>
                      <wpg:grpSpPr>
                        <a:xfrm>
                          <a:off x="0" y="0"/>
                          <a:ext cx="701611" cy="328609"/>
                          <a:chOff x="0" y="0"/>
                          <a:chExt cx="701611" cy="328609"/>
                        </a:xfrm>
                      </wpg:grpSpPr>
                      <wps:wsp>
                        <wps:cNvPr id="142" name="Shape 142"/>
                        <wps:cNvSpPr/>
                        <wps:spPr>
                          <a:xfrm>
                            <a:off x="615003" y="234599"/>
                            <a:ext cx="12" cy="0"/>
                          </a:xfrm>
                          <a:custGeom>
                            <a:avLst/>
                            <a:gdLst/>
                            <a:ahLst/>
                            <a:cxnLst/>
                            <a:rect l="0" t="0" r="0" b="0"/>
                            <a:pathLst>
                              <a:path w="12">
                                <a:moveTo>
                                  <a:pt x="12" y="0"/>
                                </a:moveTo>
                                <a:lnTo>
                                  <a:pt x="0" y="0"/>
                                </a:lnTo>
                                <a:close/>
                              </a:path>
                            </a:pathLst>
                          </a:custGeom>
                          <a:ln w="0" cap="flat">
                            <a:miter lim="127000"/>
                          </a:ln>
                        </wps:spPr>
                        <wps:style>
                          <a:lnRef idx="0">
                            <a:srgbClr val="000000">
                              <a:alpha val="0"/>
                            </a:srgbClr>
                          </a:lnRef>
                          <a:fillRef idx="1">
                            <a:srgbClr val="A82B3D"/>
                          </a:fillRef>
                          <a:effectRef idx="0">
                            <a:scrgbClr r="0" g="0" b="0"/>
                          </a:effectRef>
                          <a:fontRef idx="none"/>
                        </wps:style>
                        <wps:bodyPr/>
                      </wps:wsp>
                      <wps:wsp>
                        <wps:cNvPr id="143" name="Shape 143"/>
                        <wps:cNvSpPr/>
                        <wps:spPr>
                          <a:xfrm>
                            <a:off x="518647" y="73518"/>
                            <a:ext cx="96355" cy="161188"/>
                          </a:xfrm>
                          <a:custGeom>
                            <a:avLst/>
                            <a:gdLst/>
                            <a:ahLst/>
                            <a:cxnLst/>
                            <a:rect l="0" t="0" r="0" b="0"/>
                            <a:pathLst>
                              <a:path w="96355" h="161188">
                                <a:moveTo>
                                  <a:pt x="47689" y="0"/>
                                </a:moveTo>
                                <a:cubicBezTo>
                                  <a:pt x="54635" y="0"/>
                                  <a:pt x="61544" y="838"/>
                                  <a:pt x="68187" y="2502"/>
                                </a:cubicBezTo>
                                <a:cubicBezTo>
                                  <a:pt x="72111" y="3480"/>
                                  <a:pt x="75857" y="4775"/>
                                  <a:pt x="79502" y="6261"/>
                                </a:cubicBezTo>
                                <a:cubicBezTo>
                                  <a:pt x="85534" y="8725"/>
                                  <a:pt x="91174" y="11836"/>
                                  <a:pt x="96355" y="15532"/>
                                </a:cubicBezTo>
                                <a:lnTo>
                                  <a:pt x="96355" y="161087"/>
                                </a:lnTo>
                                <a:cubicBezTo>
                                  <a:pt x="96215" y="161188"/>
                                  <a:pt x="47460" y="121768"/>
                                  <a:pt x="47460" y="121768"/>
                                </a:cubicBezTo>
                                <a:lnTo>
                                  <a:pt x="0" y="160490"/>
                                </a:lnTo>
                                <a:lnTo>
                                  <a:pt x="0" y="14783"/>
                                </a:lnTo>
                                <a:cubicBezTo>
                                  <a:pt x="3696" y="12217"/>
                                  <a:pt x="7595" y="9906"/>
                                  <a:pt x="11747" y="7963"/>
                                </a:cubicBezTo>
                                <a:cubicBezTo>
                                  <a:pt x="13462" y="7150"/>
                                  <a:pt x="15253" y="6502"/>
                                  <a:pt x="17018" y="5817"/>
                                </a:cubicBezTo>
                                <a:cubicBezTo>
                                  <a:pt x="26670" y="2070"/>
                                  <a:pt x="37123" y="0"/>
                                  <a:pt x="47689" y="0"/>
                                </a:cubicBezTo>
                                <a:close/>
                              </a:path>
                            </a:pathLst>
                          </a:custGeom>
                          <a:ln w="0" cap="flat">
                            <a:miter lim="127000"/>
                          </a:ln>
                        </wps:spPr>
                        <wps:style>
                          <a:lnRef idx="0">
                            <a:srgbClr val="000000">
                              <a:alpha val="0"/>
                            </a:srgbClr>
                          </a:lnRef>
                          <a:fillRef idx="1">
                            <a:srgbClr val="A82B3D"/>
                          </a:fillRef>
                          <a:effectRef idx="0">
                            <a:scrgbClr r="0" g="0" b="0"/>
                          </a:effectRef>
                          <a:fontRef idx="none"/>
                        </wps:style>
                        <wps:bodyPr/>
                      </wps:wsp>
                      <wps:wsp>
                        <wps:cNvPr id="144" name="Shape 144"/>
                        <wps:cNvSpPr/>
                        <wps:spPr>
                          <a:xfrm>
                            <a:off x="453301" y="44154"/>
                            <a:ext cx="113170" cy="226289"/>
                          </a:xfrm>
                          <a:custGeom>
                            <a:avLst/>
                            <a:gdLst/>
                            <a:ahLst/>
                            <a:cxnLst/>
                            <a:rect l="0" t="0" r="0" b="0"/>
                            <a:pathLst>
                              <a:path w="113170" h="226289">
                                <a:moveTo>
                                  <a:pt x="113170" y="0"/>
                                </a:moveTo>
                                <a:lnTo>
                                  <a:pt x="113170" y="22820"/>
                                </a:lnTo>
                                <a:lnTo>
                                  <a:pt x="104110" y="22152"/>
                                </a:lnTo>
                                <a:cubicBezTo>
                                  <a:pt x="93644" y="23152"/>
                                  <a:pt x="83344" y="25914"/>
                                  <a:pt x="73825" y="30416"/>
                                </a:cubicBezTo>
                                <a:cubicBezTo>
                                  <a:pt x="42888" y="45021"/>
                                  <a:pt x="21679" y="76594"/>
                                  <a:pt x="21781" y="113119"/>
                                </a:cubicBezTo>
                                <a:cubicBezTo>
                                  <a:pt x="21857" y="142697"/>
                                  <a:pt x="35941" y="168897"/>
                                  <a:pt x="57709" y="185623"/>
                                </a:cubicBezTo>
                                <a:lnTo>
                                  <a:pt x="57709" y="205943"/>
                                </a:lnTo>
                                <a:lnTo>
                                  <a:pt x="71717" y="194488"/>
                                </a:lnTo>
                                <a:cubicBezTo>
                                  <a:pt x="71717" y="194488"/>
                                  <a:pt x="71717" y="194488"/>
                                  <a:pt x="71704" y="194488"/>
                                </a:cubicBezTo>
                                <a:lnTo>
                                  <a:pt x="71704" y="194475"/>
                                </a:lnTo>
                                <a:cubicBezTo>
                                  <a:pt x="84151" y="200851"/>
                                  <a:pt x="98210" y="204521"/>
                                  <a:pt x="113170" y="204521"/>
                                </a:cubicBezTo>
                                <a:lnTo>
                                  <a:pt x="113170" y="226289"/>
                                </a:lnTo>
                                <a:cubicBezTo>
                                  <a:pt x="50673" y="226289"/>
                                  <a:pt x="0" y="175628"/>
                                  <a:pt x="0" y="113119"/>
                                </a:cubicBezTo>
                                <a:cubicBezTo>
                                  <a:pt x="0" y="50648"/>
                                  <a:pt x="50673" y="0"/>
                                  <a:pt x="113170" y="0"/>
                                </a:cubicBezTo>
                                <a:close/>
                              </a:path>
                            </a:pathLst>
                          </a:custGeom>
                          <a:ln w="0" cap="flat">
                            <a:miter lim="127000"/>
                          </a:ln>
                        </wps:spPr>
                        <wps:style>
                          <a:lnRef idx="0">
                            <a:srgbClr val="000000">
                              <a:alpha val="0"/>
                            </a:srgbClr>
                          </a:lnRef>
                          <a:fillRef idx="1">
                            <a:srgbClr val="A82B3D"/>
                          </a:fillRef>
                          <a:effectRef idx="0">
                            <a:scrgbClr r="0" g="0" b="0"/>
                          </a:effectRef>
                          <a:fontRef idx="none"/>
                        </wps:style>
                        <wps:bodyPr/>
                      </wps:wsp>
                      <wps:wsp>
                        <wps:cNvPr id="145" name="Shape 145"/>
                        <wps:cNvSpPr/>
                        <wps:spPr>
                          <a:xfrm>
                            <a:off x="566471" y="44154"/>
                            <a:ext cx="113157" cy="226289"/>
                          </a:xfrm>
                          <a:custGeom>
                            <a:avLst/>
                            <a:gdLst/>
                            <a:ahLst/>
                            <a:cxnLst/>
                            <a:rect l="0" t="0" r="0" b="0"/>
                            <a:pathLst>
                              <a:path w="113157" h="226289">
                                <a:moveTo>
                                  <a:pt x="0" y="0"/>
                                </a:moveTo>
                                <a:cubicBezTo>
                                  <a:pt x="62484" y="0"/>
                                  <a:pt x="113157" y="50648"/>
                                  <a:pt x="113157" y="113119"/>
                                </a:cubicBezTo>
                                <a:cubicBezTo>
                                  <a:pt x="113157" y="175628"/>
                                  <a:pt x="62484" y="226289"/>
                                  <a:pt x="0" y="226289"/>
                                </a:cubicBezTo>
                                <a:lnTo>
                                  <a:pt x="0" y="204521"/>
                                </a:lnTo>
                                <a:cubicBezTo>
                                  <a:pt x="14719" y="204521"/>
                                  <a:pt x="28587" y="200952"/>
                                  <a:pt x="40932" y="194755"/>
                                </a:cubicBezTo>
                                <a:lnTo>
                                  <a:pt x="56159" y="207226"/>
                                </a:lnTo>
                                <a:lnTo>
                                  <a:pt x="56159" y="185102"/>
                                </a:lnTo>
                                <a:cubicBezTo>
                                  <a:pt x="77559" y="168377"/>
                                  <a:pt x="91389" y="142380"/>
                                  <a:pt x="91389" y="113119"/>
                                </a:cubicBezTo>
                                <a:cubicBezTo>
                                  <a:pt x="91389" y="70358"/>
                                  <a:pt x="61950" y="34417"/>
                                  <a:pt x="22225" y="24460"/>
                                </a:cubicBezTo>
                                <a:lnTo>
                                  <a:pt x="0" y="22820"/>
                                </a:lnTo>
                                <a:lnTo>
                                  <a:pt x="0" y="0"/>
                                </a:lnTo>
                                <a:close/>
                              </a:path>
                            </a:pathLst>
                          </a:custGeom>
                          <a:ln w="0" cap="flat">
                            <a:miter lim="127000"/>
                          </a:ln>
                        </wps:spPr>
                        <wps:style>
                          <a:lnRef idx="0">
                            <a:srgbClr val="000000">
                              <a:alpha val="0"/>
                            </a:srgbClr>
                          </a:lnRef>
                          <a:fillRef idx="1">
                            <a:srgbClr val="A82B3D"/>
                          </a:fillRef>
                          <a:effectRef idx="0">
                            <a:scrgbClr r="0" g="0" b="0"/>
                          </a:effectRef>
                          <a:fontRef idx="none"/>
                        </wps:style>
                        <wps:bodyPr/>
                      </wps:wsp>
                      <wps:wsp>
                        <wps:cNvPr id="146" name="Shape 146"/>
                        <wps:cNvSpPr/>
                        <wps:spPr>
                          <a:xfrm>
                            <a:off x="430581" y="285694"/>
                            <a:ext cx="35116" cy="42913"/>
                          </a:xfrm>
                          <a:custGeom>
                            <a:avLst/>
                            <a:gdLst/>
                            <a:ahLst/>
                            <a:cxnLst/>
                            <a:rect l="0" t="0" r="0" b="0"/>
                            <a:pathLst>
                              <a:path w="35116" h="42913">
                                <a:moveTo>
                                  <a:pt x="32144" y="0"/>
                                </a:moveTo>
                                <a:lnTo>
                                  <a:pt x="35065" y="0"/>
                                </a:lnTo>
                                <a:lnTo>
                                  <a:pt x="35065" y="10528"/>
                                </a:lnTo>
                                <a:lnTo>
                                  <a:pt x="32144" y="10528"/>
                                </a:lnTo>
                                <a:lnTo>
                                  <a:pt x="32144" y="7480"/>
                                </a:lnTo>
                                <a:cubicBezTo>
                                  <a:pt x="28372" y="4712"/>
                                  <a:pt x="25578" y="3645"/>
                                  <a:pt x="21616" y="3645"/>
                                </a:cubicBezTo>
                                <a:cubicBezTo>
                                  <a:pt x="12459" y="3645"/>
                                  <a:pt x="6135" y="10960"/>
                                  <a:pt x="6135" y="21425"/>
                                </a:cubicBezTo>
                                <a:cubicBezTo>
                                  <a:pt x="6135" y="31699"/>
                                  <a:pt x="13322" y="39688"/>
                                  <a:pt x="22543" y="39688"/>
                                </a:cubicBezTo>
                                <a:cubicBezTo>
                                  <a:pt x="25642" y="39688"/>
                                  <a:pt x="28182" y="38887"/>
                                  <a:pt x="32144" y="36589"/>
                                </a:cubicBezTo>
                                <a:lnTo>
                                  <a:pt x="32144" y="32067"/>
                                </a:lnTo>
                                <a:lnTo>
                                  <a:pt x="35116" y="32067"/>
                                </a:lnTo>
                                <a:lnTo>
                                  <a:pt x="35116" y="40310"/>
                                </a:lnTo>
                                <a:cubicBezTo>
                                  <a:pt x="29921" y="42227"/>
                                  <a:pt x="26505" y="42913"/>
                                  <a:pt x="22111" y="42913"/>
                                </a:cubicBezTo>
                                <a:cubicBezTo>
                                  <a:pt x="9360" y="42913"/>
                                  <a:pt x="0" y="33998"/>
                                  <a:pt x="0" y="21793"/>
                                </a:cubicBezTo>
                                <a:cubicBezTo>
                                  <a:pt x="0" y="9779"/>
                                  <a:pt x="9360" y="495"/>
                                  <a:pt x="21438" y="495"/>
                                </a:cubicBezTo>
                                <a:cubicBezTo>
                                  <a:pt x="25464" y="495"/>
                                  <a:pt x="28677" y="1168"/>
                                  <a:pt x="32144" y="2781"/>
                                </a:cubicBezTo>
                                <a:lnTo>
                                  <a:pt x="32144" y="0"/>
                                </a:lnTo>
                                <a:close/>
                              </a:path>
                            </a:pathLst>
                          </a:custGeom>
                          <a:ln w="0" cap="flat">
                            <a:miter lim="127000"/>
                          </a:ln>
                        </wps:spPr>
                        <wps:style>
                          <a:lnRef idx="0">
                            <a:srgbClr val="000000">
                              <a:alpha val="0"/>
                            </a:srgbClr>
                          </a:lnRef>
                          <a:fillRef idx="1">
                            <a:srgbClr val="A82B3D"/>
                          </a:fillRef>
                          <a:effectRef idx="0">
                            <a:scrgbClr r="0" g="0" b="0"/>
                          </a:effectRef>
                          <a:fontRef idx="none"/>
                        </wps:style>
                        <wps:bodyPr/>
                      </wps:wsp>
                      <wps:wsp>
                        <wps:cNvPr id="147" name="Shape 147"/>
                        <wps:cNvSpPr/>
                        <wps:spPr>
                          <a:xfrm>
                            <a:off x="467968" y="299004"/>
                            <a:ext cx="21984" cy="28791"/>
                          </a:xfrm>
                          <a:custGeom>
                            <a:avLst/>
                            <a:gdLst/>
                            <a:ahLst/>
                            <a:cxnLst/>
                            <a:rect l="0" t="0" r="0" b="0"/>
                            <a:pathLst>
                              <a:path w="21984" h="28791">
                                <a:moveTo>
                                  <a:pt x="18338" y="0"/>
                                </a:moveTo>
                                <a:cubicBezTo>
                                  <a:pt x="19076" y="0"/>
                                  <a:pt x="19698" y="190"/>
                                  <a:pt x="20066" y="559"/>
                                </a:cubicBezTo>
                                <a:lnTo>
                                  <a:pt x="21984" y="2235"/>
                                </a:lnTo>
                                <a:lnTo>
                                  <a:pt x="18390" y="6566"/>
                                </a:lnTo>
                                <a:cubicBezTo>
                                  <a:pt x="17158" y="5385"/>
                                  <a:pt x="16294" y="4839"/>
                                  <a:pt x="15672" y="4839"/>
                                </a:cubicBezTo>
                                <a:cubicBezTo>
                                  <a:pt x="14554" y="4839"/>
                                  <a:pt x="13450" y="5880"/>
                                  <a:pt x="10033" y="10020"/>
                                </a:cubicBezTo>
                                <a:lnTo>
                                  <a:pt x="10033" y="26505"/>
                                </a:lnTo>
                                <a:lnTo>
                                  <a:pt x="15989" y="26505"/>
                                </a:lnTo>
                                <a:lnTo>
                                  <a:pt x="15989" y="28791"/>
                                </a:lnTo>
                                <a:lnTo>
                                  <a:pt x="698" y="28791"/>
                                </a:lnTo>
                                <a:lnTo>
                                  <a:pt x="698" y="26505"/>
                                </a:lnTo>
                                <a:lnTo>
                                  <a:pt x="5397" y="26505"/>
                                </a:lnTo>
                                <a:lnTo>
                                  <a:pt x="5397" y="4204"/>
                                </a:lnTo>
                                <a:lnTo>
                                  <a:pt x="0" y="4204"/>
                                </a:lnTo>
                                <a:lnTo>
                                  <a:pt x="0" y="2540"/>
                                </a:lnTo>
                                <a:lnTo>
                                  <a:pt x="8928" y="127"/>
                                </a:lnTo>
                                <a:lnTo>
                                  <a:pt x="10033" y="127"/>
                                </a:lnTo>
                                <a:lnTo>
                                  <a:pt x="10033" y="7061"/>
                                </a:lnTo>
                                <a:cubicBezTo>
                                  <a:pt x="14491" y="1359"/>
                                  <a:pt x="16104" y="0"/>
                                  <a:pt x="18338" y="0"/>
                                </a:cubicBezTo>
                                <a:close/>
                              </a:path>
                            </a:pathLst>
                          </a:custGeom>
                          <a:ln w="0" cap="flat">
                            <a:miter lim="127000"/>
                          </a:ln>
                        </wps:spPr>
                        <wps:style>
                          <a:lnRef idx="0">
                            <a:srgbClr val="000000">
                              <a:alpha val="0"/>
                            </a:srgbClr>
                          </a:lnRef>
                          <a:fillRef idx="1">
                            <a:srgbClr val="A82B3D"/>
                          </a:fillRef>
                          <a:effectRef idx="0">
                            <a:scrgbClr r="0" g="0" b="0"/>
                          </a:effectRef>
                          <a:fontRef idx="none"/>
                        </wps:style>
                        <wps:bodyPr/>
                      </wps:wsp>
                      <wps:wsp>
                        <wps:cNvPr id="148" name="Shape 148"/>
                        <wps:cNvSpPr/>
                        <wps:spPr>
                          <a:xfrm>
                            <a:off x="490139" y="299003"/>
                            <a:ext cx="13595" cy="29604"/>
                          </a:xfrm>
                          <a:custGeom>
                            <a:avLst/>
                            <a:gdLst/>
                            <a:ahLst/>
                            <a:cxnLst/>
                            <a:rect l="0" t="0" r="0" b="0"/>
                            <a:pathLst>
                              <a:path w="13595" h="29604">
                                <a:moveTo>
                                  <a:pt x="13564" y="0"/>
                                </a:moveTo>
                                <a:lnTo>
                                  <a:pt x="13595" y="14"/>
                                </a:lnTo>
                                <a:lnTo>
                                  <a:pt x="13595" y="2622"/>
                                </a:lnTo>
                                <a:lnTo>
                                  <a:pt x="13564" y="2603"/>
                                </a:lnTo>
                                <a:cubicBezTo>
                                  <a:pt x="8915" y="2603"/>
                                  <a:pt x="5321" y="7925"/>
                                  <a:pt x="5321" y="14795"/>
                                </a:cubicBezTo>
                                <a:cubicBezTo>
                                  <a:pt x="5321" y="21615"/>
                                  <a:pt x="8915" y="27000"/>
                                  <a:pt x="13564" y="27000"/>
                                </a:cubicBezTo>
                                <a:lnTo>
                                  <a:pt x="13595" y="26981"/>
                                </a:lnTo>
                                <a:lnTo>
                                  <a:pt x="13595" y="29589"/>
                                </a:lnTo>
                                <a:lnTo>
                                  <a:pt x="13564" y="29604"/>
                                </a:lnTo>
                                <a:cubicBezTo>
                                  <a:pt x="6070" y="29604"/>
                                  <a:pt x="0" y="22974"/>
                                  <a:pt x="0" y="14795"/>
                                </a:cubicBezTo>
                                <a:cubicBezTo>
                                  <a:pt x="0" y="6617"/>
                                  <a:pt x="6070" y="0"/>
                                  <a:pt x="13564" y="0"/>
                                </a:cubicBezTo>
                                <a:close/>
                              </a:path>
                            </a:pathLst>
                          </a:custGeom>
                          <a:ln w="0" cap="flat">
                            <a:miter lim="127000"/>
                          </a:ln>
                        </wps:spPr>
                        <wps:style>
                          <a:lnRef idx="0">
                            <a:srgbClr val="000000">
                              <a:alpha val="0"/>
                            </a:srgbClr>
                          </a:lnRef>
                          <a:fillRef idx="1">
                            <a:srgbClr val="A82B3D"/>
                          </a:fillRef>
                          <a:effectRef idx="0">
                            <a:scrgbClr r="0" g="0" b="0"/>
                          </a:effectRef>
                          <a:fontRef idx="none"/>
                        </wps:style>
                        <wps:bodyPr/>
                      </wps:wsp>
                      <wps:wsp>
                        <wps:cNvPr id="149" name="Shape 149"/>
                        <wps:cNvSpPr/>
                        <wps:spPr>
                          <a:xfrm>
                            <a:off x="503734" y="299018"/>
                            <a:ext cx="13519" cy="29575"/>
                          </a:xfrm>
                          <a:custGeom>
                            <a:avLst/>
                            <a:gdLst/>
                            <a:ahLst/>
                            <a:cxnLst/>
                            <a:rect l="0" t="0" r="0" b="0"/>
                            <a:pathLst>
                              <a:path w="13519" h="29575">
                                <a:moveTo>
                                  <a:pt x="0" y="0"/>
                                </a:moveTo>
                                <a:lnTo>
                                  <a:pt x="9554" y="4316"/>
                                </a:lnTo>
                                <a:cubicBezTo>
                                  <a:pt x="12005" y="6993"/>
                                  <a:pt x="13519" y="10692"/>
                                  <a:pt x="13519" y="14781"/>
                                </a:cubicBezTo>
                                <a:cubicBezTo>
                                  <a:pt x="13519" y="18871"/>
                                  <a:pt x="12005" y="22572"/>
                                  <a:pt x="9554" y="25252"/>
                                </a:cubicBezTo>
                                <a:lnTo>
                                  <a:pt x="0" y="29575"/>
                                </a:lnTo>
                                <a:lnTo>
                                  <a:pt x="0" y="26967"/>
                                </a:lnTo>
                                <a:lnTo>
                                  <a:pt x="5864" y="23460"/>
                                </a:lnTo>
                                <a:cubicBezTo>
                                  <a:pt x="7360" y="21268"/>
                                  <a:pt x="8274" y="18216"/>
                                  <a:pt x="8274" y="14781"/>
                                </a:cubicBezTo>
                                <a:cubicBezTo>
                                  <a:pt x="8274" y="11346"/>
                                  <a:pt x="7360" y="8298"/>
                                  <a:pt x="5864" y="6109"/>
                                </a:cubicBezTo>
                                <a:lnTo>
                                  <a:pt x="0" y="2608"/>
                                </a:lnTo>
                                <a:lnTo>
                                  <a:pt x="0" y="0"/>
                                </a:lnTo>
                                <a:close/>
                              </a:path>
                            </a:pathLst>
                          </a:custGeom>
                          <a:ln w="0" cap="flat">
                            <a:miter lim="127000"/>
                          </a:ln>
                        </wps:spPr>
                        <wps:style>
                          <a:lnRef idx="0">
                            <a:srgbClr val="000000">
                              <a:alpha val="0"/>
                            </a:srgbClr>
                          </a:lnRef>
                          <a:fillRef idx="1">
                            <a:srgbClr val="A82B3D"/>
                          </a:fillRef>
                          <a:effectRef idx="0">
                            <a:scrgbClr r="0" g="0" b="0"/>
                          </a:effectRef>
                          <a:fontRef idx="none"/>
                        </wps:style>
                        <wps:bodyPr/>
                      </wps:wsp>
                      <wps:wsp>
                        <wps:cNvPr id="150" name="Shape 150"/>
                        <wps:cNvSpPr/>
                        <wps:spPr>
                          <a:xfrm>
                            <a:off x="521676" y="298876"/>
                            <a:ext cx="19888" cy="29731"/>
                          </a:xfrm>
                          <a:custGeom>
                            <a:avLst/>
                            <a:gdLst/>
                            <a:ahLst/>
                            <a:cxnLst/>
                            <a:rect l="0" t="0" r="0" b="0"/>
                            <a:pathLst>
                              <a:path w="19888" h="29731">
                                <a:moveTo>
                                  <a:pt x="16548" y="0"/>
                                </a:moveTo>
                                <a:lnTo>
                                  <a:pt x="19202" y="0"/>
                                </a:lnTo>
                                <a:lnTo>
                                  <a:pt x="17716" y="8915"/>
                                </a:lnTo>
                                <a:lnTo>
                                  <a:pt x="15049" y="8915"/>
                                </a:lnTo>
                                <a:cubicBezTo>
                                  <a:pt x="15303" y="8242"/>
                                  <a:pt x="15430" y="7430"/>
                                  <a:pt x="15430" y="6883"/>
                                </a:cubicBezTo>
                                <a:cubicBezTo>
                                  <a:pt x="15430" y="4458"/>
                                  <a:pt x="12636" y="2477"/>
                                  <a:pt x="9296" y="2477"/>
                                </a:cubicBezTo>
                                <a:cubicBezTo>
                                  <a:pt x="6070" y="2477"/>
                                  <a:pt x="3975" y="4216"/>
                                  <a:pt x="3975" y="6883"/>
                                </a:cubicBezTo>
                                <a:cubicBezTo>
                                  <a:pt x="3975" y="9550"/>
                                  <a:pt x="4407" y="9855"/>
                                  <a:pt x="11899" y="12890"/>
                                </a:cubicBezTo>
                                <a:cubicBezTo>
                                  <a:pt x="17958" y="15304"/>
                                  <a:pt x="19888" y="17336"/>
                                  <a:pt x="19888" y="21298"/>
                                </a:cubicBezTo>
                                <a:cubicBezTo>
                                  <a:pt x="19888" y="26264"/>
                                  <a:pt x="16040" y="29731"/>
                                  <a:pt x="10528" y="29731"/>
                                </a:cubicBezTo>
                                <a:cubicBezTo>
                                  <a:pt x="7061" y="29731"/>
                                  <a:pt x="4457" y="28931"/>
                                  <a:pt x="2667" y="27254"/>
                                </a:cubicBezTo>
                                <a:lnTo>
                                  <a:pt x="2667" y="29477"/>
                                </a:lnTo>
                                <a:lnTo>
                                  <a:pt x="190" y="29477"/>
                                </a:lnTo>
                                <a:lnTo>
                                  <a:pt x="190" y="20688"/>
                                </a:lnTo>
                                <a:lnTo>
                                  <a:pt x="3035" y="20688"/>
                                </a:lnTo>
                                <a:lnTo>
                                  <a:pt x="3035" y="22352"/>
                                </a:lnTo>
                                <a:cubicBezTo>
                                  <a:pt x="3035" y="25019"/>
                                  <a:pt x="6515" y="27368"/>
                                  <a:pt x="10351" y="27368"/>
                                </a:cubicBezTo>
                                <a:cubicBezTo>
                                  <a:pt x="13754" y="27368"/>
                                  <a:pt x="16294" y="25578"/>
                                  <a:pt x="16294" y="23101"/>
                                </a:cubicBezTo>
                                <a:cubicBezTo>
                                  <a:pt x="16294" y="20625"/>
                                  <a:pt x="14554" y="19266"/>
                                  <a:pt x="8065" y="16726"/>
                                </a:cubicBezTo>
                                <a:cubicBezTo>
                                  <a:pt x="2121" y="14427"/>
                                  <a:pt x="0" y="12141"/>
                                  <a:pt x="0" y="8242"/>
                                </a:cubicBezTo>
                                <a:cubicBezTo>
                                  <a:pt x="0" y="3404"/>
                                  <a:pt x="3911" y="127"/>
                                  <a:pt x="9601" y="127"/>
                                </a:cubicBezTo>
                                <a:cubicBezTo>
                                  <a:pt x="12332" y="127"/>
                                  <a:pt x="14439" y="813"/>
                                  <a:pt x="16166" y="2235"/>
                                </a:cubicBezTo>
                                <a:lnTo>
                                  <a:pt x="16548" y="0"/>
                                </a:lnTo>
                                <a:close/>
                              </a:path>
                            </a:pathLst>
                          </a:custGeom>
                          <a:ln w="0" cap="flat">
                            <a:miter lim="127000"/>
                          </a:ln>
                        </wps:spPr>
                        <wps:style>
                          <a:lnRef idx="0">
                            <a:srgbClr val="000000">
                              <a:alpha val="0"/>
                            </a:srgbClr>
                          </a:lnRef>
                          <a:fillRef idx="1">
                            <a:srgbClr val="A82B3D"/>
                          </a:fillRef>
                          <a:effectRef idx="0">
                            <a:scrgbClr r="0" g="0" b="0"/>
                          </a:effectRef>
                          <a:fontRef idx="none"/>
                        </wps:style>
                        <wps:bodyPr/>
                      </wps:wsp>
                      <wps:wsp>
                        <wps:cNvPr id="151" name="Shape 151"/>
                        <wps:cNvSpPr/>
                        <wps:spPr>
                          <a:xfrm>
                            <a:off x="546698" y="298876"/>
                            <a:ext cx="19876" cy="29731"/>
                          </a:xfrm>
                          <a:custGeom>
                            <a:avLst/>
                            <a:gdLst/>
                            <a:ahLst/>
                            <a:cxnLst/>
                            <a:rect l="0" t="0" r="0" b="0"/>
                            <a:pathLst>
                              <a:path w="19876" h="29731">
                                <a:moveTo>
                                  <a:pt x="16535" y="0"/>
                                </a:moveTo>
                                <a:lnTo>
                                  <a:pt x="19202" y="0"/>
                                </a:lnTo>
                                <a:lnTo>
                                  <a:pt x="17704" y="8915"/>
                                </a:lnTo>
                                <a:lnTo>
                                  <a:pt x="15049" y="8915"/>
                                </a:lnTo>
                                <a:cubicBezTo>
                                  <a:pt x="15291" y="8242"/>
                                  <a:pt x="15418" y="7430"/>
                                  <a:pt x="15418" y="6883"/>
                                </a:cubicBezTo>
                                <a:cubicBezTo>
                                  <a:pt x="15418" y="4458"/>
                                  <a:pt x="12623" y="2477"/>
                                  <a:pt x="9283" y="2477"/>
                                </a:cubicBezTo>
                                <a:cubicBezTo>
                                  <a:pt x="6070" y="2477"/>
                                  <a:pt x="3962" y="4216"/>
                                  <a:pt x="3962" y="6883"/>
                                </a:cubicBezTo>
                                <a:cubicBezTo>
                                  <a:pt x="3962" y="9550"/>
                                  <a:pt x="4407" y="9855"/>
                                  <a:pt x="11887" y="12890"/>
                                </a:cubicBezTo>
                                <a:cubicBezTo>
                                  <a:pt x="17958" y="15304"/>
                                  <a:pt x="19876" y="17336"/>
                                  <a:pt x="19876" y="21298"/>
                                </a:cubicBezTo>
                                <a:cubicBezTo>
                                  <a:pt x="19876" y="26264"/>
                                  <a:pt x="16040" y="29731"/>
                                  <a:pt x="10528" y="29731"/>
                                </a:cubicBezTo>
                                <a:cubicBezTo>
                                  <a:pt x="7061" y="29731"/>
                                  <a:pt x="4470" y="28931"/>
                                  <a:pt x="2654" y="27254"/>
                                </a:cubicBezTo>
                                <a:lnTo>
                                  <a:pt x="2654" y="29477"/>
                                </a:lnTo>
                                <a:lnTo>
                                  <a:pt x="178" y="29477"/>
                                </a:lnTo>
                                <a:lnTo>
                                  <a:pt x="178" y="20688"/>
                                </a:lnTo>
                                <a:lnTo>
                                  <a:pt x="3035" y="20688"/>
                                </a:lnTo>
                                <a:lnTo>
                                  <a:pt x="3035" y="22352"/>
                                </a:lnTo>
                                <a:cubicBezTo>
                                  <a:pt x="3035" y="25019"/>
                                  <a:pt x="6502" y="27368"/>
                                  <a:pt x="10337" y="27368"/>
                                </a:cubicBezTo>
                                <a:cubicBezTo>
                                  <a:pt x="13741" y="27368"/>
                                  <a:pt x="16294" y="25578"/>
                                  <a:pt x="16294" y="23101"/>
                                </a:cubicBezTo>
                                <a:cubicBezTo>
                                  <a:pt x="16294" y="20625"/>
                                  <a:pt x="14554" y="19266"/>
                                  <a:pt x="8051" y="16726"/>
                                </a:cubicBezTo>
                                <a:cubicBezTo>
                                  <a:pt x="2108" y="14427"/>
                                  <a:pt x="0" y="12141"/>
                                  <a:pt x="0" y="8242"/>
                                </a:cubicBezTo>
                                <a:cubicBezTo>
                                  <a:pt x="0" y="3404"/>
                                  <a:pt x="3899" y="127"/>
                                  <a:pt x="9601" y="127"/>
                                </a:cubicBezTo>
                                <a:cubicBezTo>
                                  <a:pt x="12332" y="127"/>
                                  <a:pt x="14427" y="813"/>
                                  <a:pt x="16154" y="2235"/>
                                </a:cubicBezTo>
                                <a:lnTo>
                                  <a:pt x="16535" y="0"/>
                                </a:lnTo>
                                <a:close/>
                              </a:path>
                            </a:pathLst>
                          </a:custGeom>
                          <a:ln w="0" cap="flat">
                            <a:miter lim="127000"/>
                          </a:ln>
                        </wps:spPr>
                        <wps:style>
                          <a:lnRef idx="0">
                            <a:srgbClr val="000000">
                              <a:alpha val="0"/>
                            </a:srgbClr>
                          </a:lnRef>
                          <a:fillRef idx="1">
                            <a:srgbClr val="A82B3D"/>
                          </a:fillRef>
                          <a:effectRef idx="0">
                            <a:scrgbClr r="0" g="0" b="0"/>
                          </a:effectRef>
                          <a:fontRef idx="none"/>
                        </wps:style>
                        <wps:bodyPr/>
                      </wps:wsp>
                      <wps:wsp>
                        <wps:cNvPr id="152" name="Shape 152"/>
                        <wps:cNvSpPr/>
                        <wps:spPr>
                          <a:xfrm>
                            <a:off x="571426" y="286932"/>
                            <a:ext cx="48298" cy="41478"/>
                          </a:xfrm>
                          <a:custGeom>
                            <a:avLst/>
                            <a:gdLst/>
                            <a:ahLst/>
                            <a:cxnLst/>
                            <a:rect l="0" t="0" r="0" b="0"/>
                            <a:pathLst>
                              <a:path w="48298" h="41478">
                                <a:moveTo>
                                  <a:pt x="0" y="0"/>
                                </a:moveTo>
                                <a:lnTo>
                                  <a:pt x="9982" y="0"/>
                                </a:lnTo>
                                <a:lnTo>
                                  <a:pt x="24092" y="31572"/>
                                </a:lnTo>
                                <a:lnTo>
                                  <a:pt x="38633" y="0"/>
                                </a:lnTo>
                                <a:lnTo>
                                  <a:pt x="48298" y="0"/>
                                </a:lnTo>
                                <a:lnTo>
                                  <a:pt x="48298" y="2286"/>
                                </a:lnTo>
                                <a:lnTo>
                                  <a:pt x="43650" y="2286"/>
                                </a:lnTo>
                                <a:lnTo>
                                  <a:pt x="43650" y="38570"/>
                                </a:lnTo>
                                <a:lnTo>
                                  <a:pt x="48298" y="38570"/>
                                </a:lnTo>
                                <a:lnTo>
                                  <a:pt x="48298" y="40869"/>
                                </a:lnTo>
                                <a:lnTo>
                                  <a:pt x="33566" y="40869"/>
                                </a:lnTo>
                                <a:lnTo>
                                  <a:pt x="33566" y="38570"/>
                                </a:lnTo>
                                <a:lnTo>
                                  <a:pt x="38202" y="38570"/>
                                </a:lnTo>
                                <a:lnTo>
                                  <a:pt x="38202" y="8115"/>
                                </a:lnTo>
                                <a:lnTo>
                                  <a:pt x="23038" y="41478"/>
                                </a:lnTo>
                                <a:lnTo>
                                  <a:pt x="7810" y="7430"/>
                                </a:lnTo>
                                <a:lnTo>
                                  <a:pt x="7810" y="38570"/>
                                </a:lnTo>
                                <a:lnTo>
                                  <a:pt x="12509" y="38570"/>
                                </a:lnTo>
                                <a:lnTo>
                                  <a:pt x="12509" y="40869"/>
                                </a:lnTo>
                                <a:lnTo>
                                  <a:pt x="0" y="40869"/>
                                </a:lnTo>
                                <a:lnTo>
                                  <a:pt x="0" y="38570"/>
                                </a:lnTo>
                                <a:lnTo>
                                  <a:pt x="4712" y="38570"/>
                                </a:lnTo>
                                <a:lnTo>
                                  <a:pt x="4712" y="2286"/>
                                </a:lnTo>
                                <a:lnTo>
                                  <a:pt x="0" y="2286"/>
                                </a:lnTo>
                                <a:lnTo>
                                  <a:pt x="0" y="0"/>
                                </a:lnTo>
                                <a:close/>
                              </a:path>
                            </a:pathLst>
                          </a:custGeom>
                          <a:ln w="0" cap="flat">
                            <a:miter lim="127000"/>
                          </a:ln>
                        </wps:spPr>
                        <wps:style>
                          <a:lnRef idx="0">
                            <a:srgbClr val="000000">
                              <a:alpha val="0"/>
                            </a:srgbClr>
                          </a:lnRef>
                          <a:fillRef idx="1">
                            <a:srgbClr val="A82B3D"/>
                          </a:fillRef>
                          <a:effectRef idx="0">
                            <a:scrgbClr r="0" g="0" b="0"/>
                          </a:effectRef>
                          <a:fontRef idx="none"/>
                        </wps:style>
                        <wps:bodyPr/>
                      </wps:wsp>
                      <wps:wsp>
                        <wps:cNvPr id="153" name="Shape 153"/>
                        <wps:cNvSpPr/>
                        <wps:spPr>
                          <a:xfrm>
                            <a:off x="622921" y="313833"/>
                            <a:ext cx="10313" cy="14776"/>
                          </a:xfrm>
                          <a:custGeom>
                            <a:avLst/>
                            <a:gdLst/>
                            <a:ahLst/>
                            <a:cxnLst/>
                            <a:rect l="0" t="0" r="0" b="0"/>
                            <a:pathLst>
                              <a:path w="10313" h="14776">
                                <a:moveTo>
                                  <a:pt x="10313" y="0"/>
                                </a:moveTo>
                                <a:lnTo>
                                  <a:pt x="10313" y="2508"/>
                                </a:lnTo>
                                <a:lnTo>
                                  <a:pt x="5017" y="3753"/>
                                </a:lnTo>
                                <a:lnTo>
                                  <a:pt x="5017" y="6839"/>
                                </a:lnTo>
                                <a:cubicBezTo>
                                  <a:pt x="5017" y="9442"/>
                                  <a:pt x="6693" y="11119"/>
                                  <a:pt x="9284" y="11119"/>
                                </a:cubicBezTo>
                                <a:lnTo>
                                  <a:pt x="10313" y="10584"/>
                                </a:lnTo>
                                <a:lnTo>
                                  <a:pt x="10313" y="13195"/>
                                </a:lnTo>
                                <a:lnTo>
                                  <a:pt x="7430" y="14776"/>
                                </a:lnTo>
                                <a:cubicBezTo>
                                  <a:pt x="3163" y="14776"/>
                                  <a:pt x="0" y="11805"/>
                                  <a:pt x="0" y="7652"/>
                                </a:cubicBezTo>
                                <a:cubicBezTo>
                                  <a:pt x="0" y="4489"/>
                                  <a:pt x="2057" y="1899"/>
                                  <a:pt x="5017" y="1213"/>
                                </a:cubicBezTo>
                                <a:lnTo>
                                  <a:pt x="10313" y="0"/>
                                </a:lnTo>
                                <a:close/>
                              </a:path>
                            </a:pathLst>
                          </a:custGeom>
                          <a:ln w="0" cap="flat">
                            <a:miter lim="127000"/>
                          </a:ln>
                        </wps:spPr>
                        <wps:style>
                          <a:lnRef idx="0">
                            <a:srgbClr val="000000">
                              <a:alpha val="0"/>
                            </a:srgbClr>
                          </a:lnRef>
                          <a:fillRef idx="1">
                            <a:srgbClr val="A82B3D"/>
                          </a:fillRef>
                          <a:effectRef idx="0">
                            <a:scrgbClr r="0" g="0" b="0"/>
                          </a:effectRef>
                          <a:fontRef idx="none"/>
                        </wps:style>
                        <wps:bodyPr/>
                      </wps:wsp>
                      <wps:wsp>
                        <wps:cNvPr id="154" name="Shape 154"/>
                        <wps:cNvSpPr/>
                        <wps:spPr>
                          <a:xfrm>
                            <a:off x="624343" y="299231"/>
                            <a:ext cx="8890" cy="7763"/>
                          </a:xfrm>
                          <a:custGeom>
                            <a:avLst/>
                            <a:gdLst/>
                            <a:ahLst/>
                            <a:cxnLst/>
                            <a:rect l="0" t="0" r="0" b="0"/>
                            <a:pathLst>
                              <a:path w="8890" h="7763">
                                <a:moveTo>
                                  <a:pt x="8890" y="0"/>
                                </a:moveTo>
                                <a:lnTo>
                                  <a:pt x="8890" y="2386"/>
                                </a:lnTo>
                                <a:lnTo>
                                  <a:pt x="6007" y="3178"/>
                                </a:lnTo>
                                <a:lnTo>
                                  <a:pt x="6007" y="6150"/>
                                </a:lnTo>
                                <a:lnTo>
                                  <a:pt x="495" y="7763"/>
                                </a:lnTo>
                                <a:cubicBezTo>
                                  <a:pt x="76" y="7026"/>
                                  <a:pt x="0" y="6709"/>
                                  <a:pt x="0" y="6023"/>
                                </a:cubicBezTo>
                                <a:cubicBezTo>
                                  <a:pt x="0" y="4226"/>
                                  <a:pt x="1039" y="2664"/>
                                  <a:pt x="2780" y="1551"/>
                                </a:cubicBezTo>
                                <a:lnTo>
                                  <a:pt x="8890" y="0"/>
                                </a:lnTo>
                                <a:close/>
                              </a:path>
                            </a:pathLst>
                          </a:custGeom>
                          <a:ln w="0" cap="flat">
                            <a:miter lim="127000"/>
                          </a:ln>
                        </wps:spPr>
                        <wps:style>
                          <a:lnRef idx="0">
                            <a:srgbClr val="000000">
                              <a:alpha val="0"/>
                            </a:srgbClr>
                          </a:lnRef>
                          <a:fillRef idx="1">
                            <a:srgbClr val="A82B3D"/>
                          </a:fillRef>
                          <a:effectRef idx="0">
                            <a:scrgbClr r="0" g="0" b="0"/>
                          </a:effectRef>
                          <a:fontRef idx="none"/>
                        </wps:style>
                        <wps:bodyPr/>
                      </wps:wsp>
                      <wps:wsp>
                        <wps:cNvPr id="155" name="Shape 155"/>
                        <wps:cNvSpPr/>
                        <wps:spPr>
                          <a:xfrm>
                            <a:off x="633233" y="299006"/>
                            <a:ext cx="14707" cy="29350"/>
                          </a:xfrm>
                          <a:custGeom>
                            <a:avLst/>
                            <a:gdLst/>
                            <a:ahLst/>
                            <a:cxnLst/>
                            <a:rect l="0" t="0" r="0" b="0"/>
                            <a:pathLst>
                              <a:path w="14707" h="29350">
                                <a:moveTo>
                                  <a:pt x="889" y="0"/>
                                </a:moveTo>
                                <a:cubicBezTo>
                                  <a:pt x="6350" y="0"/>
                                  <a:pt x="9931" y="2718"/>
                                  <a:pt x="9931" y="6807"/>
                                </a:cubicBezTo>
                                <a:lnTo>
                                  <a:pt x="9931" y="25883"/>
                                </a:lnTo>
                                <a:lnTo>
                                  <a:pt x="14707" y="25883"/>
                                </a:lnTo>
                                <a:lnTo>
                                  <a:pt x="14707" y="27622"/>
                                </a:lnTo>
                                <a:lnTo>
                                  <a:pt x="10554" y="28918"/>
                                </a:lnTo>
                                <a:cubicBezTo>
                                  <a:pt x="9754" y="29172"/>
                                  <a:pt x="8877" y="29350"/>
                                  <a:pt x="8395" y="29350"/>
                                </a:cubicBezTo>
                                <a:cubicBezTo>
                                  <a:pt x="6477" y="29350"/>
                                  <a:pt x="5359" y="27991"/>
                                  <a:pt x="5359" y="25705"/>
                                </a:cubicBezTo>
                                <a:lnTo>
                                  <a:pt x="5359" y="25082"/>
                                </a:lnTo>
                                <a:lnTo>
                                  <a:pt x="0" y="28022"/>
                                </a:lnTo>
                                <a:lnTo>
                                  <a:pt x="0" y="25411"/>
                                </a:lnTo>
                                <a:lnTo>
                                  <a:pt x="5296" y="22657"/>
                                </a:lnTo>
                                <a:lnTo>
                                  <a:pt x="5296" y="16091"/>
                                </a:lnTo>
                                <a:lnTo>
                                  <a:pt x="0" y="17336"/>
                                </a:lnTo>
                                <a:lnTo>
                                  <a:pt x="0" y="14827"/>
                                </a:lnTo>
                                <a:lnTo>
                                  <a:pt x="5296" y="13614"/>
                                </a:lnTo>
                                <a:lnTo>
                                  <a:pt x="5296" y="6617"/>
                                </a:lnTo>
                                <a:cubicBezTo>
                                  <a:pt x="5296" y="4153"/>
                                  <a:pt x="3442" y="2349"/>
                                  <a:pt x="953" y="2349"/>
                                </a:cubicBezTo>
                                <a:lnTo>
                                  <a:pt x="0" y="2611"/>
                                </a:lnTo>
                                <a:lnTo>
                                  <a:pt x="0" y="226"/>
                                </a:lnTo>
                                <a:lnTo>
                                  <a:pt x="889" y="0"/>
                                </a:lnTo>
                                <a:close/>
                              </a:path>
                            </a:pathLst>
                          </a:custGeom>
                          <a:ln w="0" cap="flat">
                            <a:miter lim="127000"/>
                          </a:ln>
                        </wps:spPr>
                        <wps:style>
                          <a:lnRef idx="0">
                            <a:srgbClr val="000000">
                              <a:alpha val="0"/>
                            </a:srgbClr>
                          </a:lnRef>
                          <a:fillRef idx="1">
                            <a:srgbClr val="A82B3D"/>
                          </a:fillRef>
                          <a:effectRef idx="0">
                            <a:scrgbClr r="0" g="0" b="0"/>
                          </a:effectRef>
                          <a:fontRef idx="none"/>
                        </wps:style>
                        <wps:bodyPr/>
                      </wps:wsp>
                      <wps:wsp>
                        <wps:cNvPr id="156" name="Shape 156"/>
                        <wps:cNvSpPr/>
                        <wps:spPr>
                          <a:xfrm>
                            <a:off x="649770" y="299004"/>
                            <a:ext cx="21971" cy="28791"/>
                          </a:xfrm>
                          <a:custGeom>
                            <a:avLst/>
                            <a:gdLst/>
                            <a:ahLst/>
                            <a:cxnLst/>
                            <a:rect l="0" t="0" r="0" b="0"/>
                            <a:pathLst>
                              <a:path w="21971" h="28791">
                                <a:moveTo>
                                  <a:pt x="18314" y="0"/>
                                </a:moveTo>
                                <a:cubicBezTo>
                                  <a:pt x="19062" y="0"/>
                                  <a:pt x="19672" y="190"/>
                                  <a:pt x="20053" y="559"/>
                                </a:cubicBezTo>
                                <a:lnTo>
                                  <a:pt x="21971" y="2235"/>
                                </a:lnTo>
                                <a:lnTo>
                                  <a:pt x="18390" y="6566"/>
                                </a:lnTo>
                                <a:cubicBezTo>
                                  <a:pt x="17132" y="5385"/>
                                  <a:pt x="16269" y="4839"/>
                                  <a:pt x="15646" y="4839"/>
                                </a:cubicBezTo>
                                <a:cubicBezTo>
                                  <a:pt x="14529" y="4839"/>
                                  <a:pt x="13424" y="5880"/>
                                  <a:pt x="10020" y="10020"/>
                                </a:cubicBezTo>
                                <a:lnTo>
                                  <a:pt x="10020" y="26505"/>
                                </a:lnTo>
                                <a:lnTo>
                                  <a:pt x="15964" y="26505"/>
                                </a:lnTo>
                                <a:lnTo>
                                  <a:pt x="15964" y="28791"/>
                                </a:lnTo>
                                <a:lnTo>
                                  <a:pt x="660" y="28791"/>
                                </a:lnTo>
                                <a:lnTo>
                                  <a:pt x="660" y="26505"/>
                                </a:lnTo>
                                <a:lnTo>
                                  <a:pt x="5372" y="26505"/>
                                </a:lnTo>
                                <a:lnTo>
                                  <a:pt x="5372" y="4204"/>
                                </a:lnTo>
                                <a:lnTo>
                                  <a:pt x="0" y="4204"/>
                                </a:lnTo>
                                <a:lnTo>
                                  <a:pt x="0" y="2540"/>
                                </a:lnTo>
                                <a:lnTo>
                                  <a:pt x="8903" y="127"/>
                                </a:lnTo>
                                <a:lnTo>
                                  <a:pt x="10020" y="127"/>
                                </a:lnTo>
                                <a:lnTo>
                                  <a:pt x="10020" y="7061"/>
                                </a:lnTo>
                                <a:cubicBezTo>
                                  <a:pt x="14478" y="1359"/>
                                  <a:pt x="16090" y="0"/>
                                  <a:pt x="18314" y="0"/>
                                </a:cubicBezTo>
                                <a:close/>
                              </a:path>
                            </a:pathLst>
                          </a:custGeom>
                          <a:ln w="0" cap="flat">
                            <a:miter lim="127000"/>
                          </a:ln>
                        </wps:spPr>
                        <wps:style>
                          <a:lnRef idx="0">
                            <a:srgbClr val="000000">
                              <a:alpha val="0"/>
                            </a:srgbClr>
                          </a:lnRef>
                          <a:fillRef idx="1">
                            <a:srgbClr val="A82B3D"/>
                          </a:fillRef>
                          <a:effectRef idx="0">
                            <a:scrgbClr r="0" g="0" b="0"/>
                          </a:effectRef>
                          <a:fontRef idx="none"/>
                        </wps:style>
                        <wps:bodyPr/>
                      </wps:wsp>
                      <wps:wsp>
                        <wps:cNvPr id="157" name="Shape 157"/>
                        <wps:cNvSpPr/>
                        <wps:spPr>
                          <a:xfrm>
                            <a:off x="681227" y="299747"/>
                            <a:ext cx="20383" cy="28054"/>
                          </a:xfrm>
                          <a:custGeom>
                            <a:avLst/>
                            <a:gdLst/>
                            <a:ahLst/>
                            <a:cxnLst/>
                            <a:rect l="0" t="0" r="0" b="0"/>
                            <a:pathLst>
                              <a:path w="20383" h="28054">
                                <a:moveTo>
                                  <a:pt x="7073" y="0"/>
                                </a:moveTo>
                                <a:lnTo>
                                  <a:pt x="19393" y="0"/>
                                </a:lnTo>
                                <a:lnTo>
                                  <a:pt x="19393" y="2299"/>
                                </a:lnTo>
                                <a:lnTo>
                                  <a:pt x="14630" y="2299"/>
                                </a:lnTo>
                                <a:lnTo>
                                  <a:pt x="5029" y="11455"/>
                                </a:lnTo>
                                <a:lnTo>
                                  <a:pt x="16852" y="25756"/>
                                </a:lnTo>
                                <a:lnTo>
                                  <a:pt x="20383" y="25756"/>
                                </a:lnTo>
                                <a:lnTo>
                                  <a:pt x="20383" y="28054"/>
                                </a:lnTo>
                                <a:lnTo>
                                  <a:pt x="12700" y="28054"/>
                                </a:lnTo>
                                <a:lnTo>
                                  <a:pt x="0" y="12814"/>
                                </a:lnTo>
                                <a:lnTo>
                                  <a:pt x="11087" y="2299"/>
                                </a:lnTo>
                                <a:lnTo>
                                  <a:pt x="7073" y="2299"/>
                                </a:lnTo>
                                <a:lnTo>
                                  <a:pt x="7073" y="0"/>
                                </a:lnTo>
                                <a:close/>
                              </a:path>
                            </a:pathLst>
                          </a:custGeom>
                          <a:ln w="0" cap="flat">
                            <a:miter lim="127000"/>
                          </a:ln>
                        </wps:spPr>
                        <wps:style>
                          <a:lnRef idx="0">
                            <a:srgbClr val="000000">
                              <a:alpha val="0"/>
                            </a:srgbClr>
                          </a:lnRef>
                          <a:fillRef idx="1">
                            <a:srgbClr val="A82B3D"/>
                          </a:fillRef>
                          <a:effectRef idx="0">
                            <a:scrgbClr r="0" g="0" b="0"/>
                          </a:effectRef>
                          <a:fontRef idx="none"/>
                        </wps:style>
                        <wps:bodyPr/>
                      </wps:wsp>
                      <wps:wsp>
                        <wps:cNvPr id="158" name="Shape 158"/>
                        <wps:cNvSpPr/>
                        <wps:spPr>
                          <a:xfrm>
                            <a:off x="670648" y="282170"/>
                            <a:ext cx="14732" cy="45631"/>
                          </a:xfrm>
                          <a:custGeom>
                            <a:avLst/>
                            <a:gdLst/>
                            <a:ahLst/>
                            <a:cxnLst/>
                            <a:rect l="0" t="0" r="0" b="0"/>
                            <a:pathLst>
                              <a:path w="14732" h="45631">
                                <a:moveTo>
                                  <a:pt x="8915" y="0"/>
                                </a:moveTo>
                                <a:lnTo>
                                  <a:pt x="10096" y="0"/>
                                </a:lnTo>
                                <a:lnTo>
                                  <a:pt x="10096" y="43332"/>
                                </a:lnTo>
                                <a:lnTo>
                                  <a:pt x="14732" y="43332"/>
                                </a:lnTo>
                                <a:lnTo>
                                  <a:pt x="14732" y="45631"/>
                                </a:lnTo>
                                <a:lnTo>
                                  <a:pt x="736" y="45631"/>
                                </a:lnTo>
                                <a:lnTo>
                                  <a:pt x="736" y="43332"/>
                                </a:lnTo>
                                <a:lnTo>
                                  <a:pt x="5448" y="43332"/>
                                </a:lnTo>
                                <a:lnTo>
                                  <a:pt x="5448" y="4077"/>
                                </a:lnTo>
                                <a:lnTo>
                                  <a:pt x="0" y="4077"/>
                                </a:lnTo>
                                <a:lnTo>
                                  <a:pt x="0" y="2413"/>
                                </a:lnTo>
                                <a:lnTo>
                                  <a:pt x="8915" y="0"/>
                                </a:lnTo>
                                <a:close/>
                              </a:path>
                            </a:pathLst>
                          </a:custGeom>
                          <a:ln w="0" cap="flat">
                            <a:miter lim="127000"/>
                          </a:ln>
                        </wps:spPr>
                        <wps:style>
                          <a:lnRef idx="0">
                            <a:srgbClr val="000000">
                              <a:alpha val="0"/>
                            </a:srgbClr>
                          </a:lnRef>
                          <a:fillRef idx="1">
                            <a:srgbClr val="A82B3D"/>
                          </a:fillRef>
                          <a:effectRef idx="0">
                            <a:scrgbClr r="0" g="0" b="0"/>
                          </a:effectRef>
                          <a:fontRef idx="none"/>
                        </wps:style>
                        <wps:bodyPr/>
                      </wps:wsp>
                      <wps:wsp>
                        <wps:cNvPr id="159" name="Shape 159"/>
                        <wps:cNvSpPr/>
                        <wps:spPr>
                          <a:xfrm>
                            <a:off x="0" y="44621"/>
                            <a:ext cx="207759" cy="240678"/>
                          </a:xfrm>
                          <a:custGeom>
                            <a:avLst/>
                            <a:gdLst/>
                            <a:ahLst/>
                            <a:cxnLst/>
                            <a:rect l="0" t="0" r="0" b="0"/>
                            <a:pathLst>
                              <a:path w="207759" h="240678">
                                <a:moveTo>
                                  <a:pt x="98272" y="1118"/>
                                </a:moveTo>
                                <a:cubicBezTo>
                                  <a:pt x="109956" y="0"/>
                                  <a:pt x="121488" y="279"/>
                                  <a:pt x="133109" y="1118"/>
                                </a:cubicBezTo>
                                <a:cubicBezTo>
                                  <a:pt x="140639" y="2438"/>
                                  <a:pt x="146672" y="4839"/>
                                  <a:pt x="154394" y="7290"/>
                                </a:cubicBezTo>
                                <a:cubicBezTo>
                                  <a:pt x="181013" y="20574"/>
                                  <a:pt x="207759" y="39243"/>
                                  <a:pt x="190678" y="81839"/>
                                </a:cubicBezTo>
                                <a:lnTo>
                                  <a:pt x="146748" y="174765"/>
                                </a:lnTo>
                                <a:lnTo>
                                  <a:pt x="124015" y="174765"/>
                                </a:lnTo>
                                <a:lnTo>
                                  <a:pt x="120993" y="90983"/>
                                </a:lnTo>
                                <a:lnTo>
                                  <a:pt x="83121" y="174765"/>
                                </a:lnTo>
                                <a:lnTo>
                                  <a:pt x="58890" y="174765"/>
                                </a:lnTo>
                                <a:lnTo>
                                  <a:pt x="46774" y="65088"/>
                                </a:lnTo>
                                <a:lnTo>
                                  <a:pt x="69494" y="65088"/>
                                </a:lnTo>
                                <a:lnTo>
                                  <a:pt x="75552" y="142773"/>
                                </a:lnTo>
                                <a:lnTo>
                                  <a:pt x="113424" y="65088"/>
                                </a:lnTo>
                                <a:lnTo>
                                  <a:pt x="137655" y="65088"/>
                                </a:lnTo>
                                <a:lnTo>
                                  <a:pt x="142202" y="139725"/>
                                </a:lnTo>
                                <a:cubicBezTo>
                                  <a:pt x="145681" y="131356"/>
                                  <a:pt x="149123" y="122961"/>
                                  <a:pt x="152667" y="114617"/>
                                </a:cubicBezTo>
                                <a:cubicBezTo>
                                  <a:pt x="158762" y="100254"/>
                                  <a:pt x="164465" y="85700"/>
                                  <a:pt x="170535" y="71323"/>
                                </a:cubicBezTo>
                                <a:cubicBezTo>
                                  <a:pt x="171767" y="68428"/>
                                  <a:pt x="172796" y="65278"/>
                                  <a:pt x="174130" y="62471"/>
                                </a:cubicBezTo>
                                <a:cubicBezTo>
                                  <a:pt x="178651" y="53010"/>
                                  <a:pt x="171285" y="42342"/>
                                  <a:pt x="164846" y="35852"/>
                                </a:cubicBezTo>
                                <a:cubicBezTo>
                                  <a:pt x="157429" y="28385"/>
                                  <a:pt x="147790" y="23393"/>
                                  <a:pt x="137655" y="20917"/>
                                </a:cubicBezTo>
                                <a:cubicBezTo>
                                  <a:pt x="72644" y="4991"/>
                                  <a:pt x="27330" y="53886"/>
                                  <a:pt x="21018" y="106210"/>
                                </a:cubicBezTo>
                                <a:cubicBezTo>
                                  <a:pt x="13005" y="181445"/>
                                  <a:pt x="67589" y="218758"/>
                                  <a:pt x="134620" y="199123"/>
                                </a:cubicBezTo>
                                <a:lnTo>
                                  <a:pt x="122326" y="187185"/>
                                </a:lnTo>
                                <a:lnTo>
                                  <a:pt x="179857" y="185509"/>
                                </a:lnTo>
                                <a:lnTo>
                                  <a:pt x="144424" y="226162"/>
                                </a:lnTo>
                                <a:lnTo>
                                  <a:pt x="141770" y="215100"/>
                                </a:lnTo>
                                <a:cubicBezTo>
                                  <a:pt x="73889" y="240678"/>
                                  <a:pt x="8585" y="202717"/>
                                  <a:pt x="1473" y="139725"/>
                                </a:cubicBezTo>
                                <a:cubicBezTo>
                                  <a:pt x="0" y="128041"/>
                                  <a:pt x="38" y="116370"/>
                                  <a:pt x="1473" y="104686"/>
                                </a:cubicBezTo>
                                <a:cubicBezTo>
                                  <a:pt x="12509" y="48260"/>
                                  <a:pt x="42837" y="12903"/>
                                  <a:pt x="98272" y="1118"/>
                                </a:cubicBezTo>
                                <a:close/>
                              </a:path>
                            </a:pathLst>
                          </a:custGeom>
                          <a:ln w="0" cap="flat">
                            <a:miter lim="127000"/>
                          </a:ln>
                        </wps:spPr>
                        <wps:style>
                          <a:lnRef idx="0">
                            <a:srgbClr val="000000">
                              <a:alpha val="0"/>
                            </a:srgbClr>
                          </a:lnRef>
                          <a:fillRef idx="1">
                            <a:srgbClr val="A82B3D"/>
                          </a:fillRef>
                          <a:effectRef idx="0">
                            <a:scrgbClr r="0" g="0" b="0"/>
                          </a:effectRef>
                          <a:fontRef idx="none"/>
                        </wps:style>
                        <wps:bodyPr/>
                      </wps:wsp>
                      <wps:wsp>
                        <wps:cNvPr id="160" name="Shape 160"/>
                        <wps:cNvSpPr/>
                        <wps:spPr>
                          <a:xfrm>
                            <a:off x="312805" y="82852"/>
                            <a:ext cx="99784" cy="175616"/>
                          </a:xfrm>
                          <a:custGeom>
                            <a:avLst/>
                            <a:gdLst/>
                            <a:ahLst/>
                            <a:cxnLst/>
                            <a:rect l="0" t="0" r="0" b="0"/>
                            <a:pathLst>
                              <a:path w="99784" h="175616">
                                <a:moveTo>
                                  <a:pt x="0" y="0"/>
                                </a:moveTo>
                                <a:lnTo>
                                  <a:pt x="99784" y="97574"/>
                                </a:lnTo>
                                <a:lnTo>
                                  <a:pt x="63957" y="112166"/>
                                </a:lnTo>
                                <a:lnTo>
                                  <a:pt x="87364" y="160236"/>
                                </a:lnTo>
                                <a:lnTo>
                                  <a:pt x="54331" y="175616"/>
                                </a:lnTo>
                                <a:lnTo>
                                  <a:pt x="36957" y="122745"/>
                                </a:lnTo>
                                <a:lnTo>
                                  <a:pt x="0" y="141631"/>
                                </a:lnTo>
                                <a:lnTo>
                                  <a:pt x="0" y="0"/>
                                </a:lnTo>
                                <a:close/>
                              </a:path>
                            </a:pathLst>
                          </a:custGeom>
                          <a:ln w="0" cap="flat">
                            <a:miter lim="127000"/>
                          </a:ln>
                        </wps:spPr>
                        <wps:style>
                          <a:lnRef idx="0">
                            <a:srgbClr val="000000">
                              <a:alpha val="0"/>
                            </a:srgbClr>
                          </a:lnRef>
                          <a:fillRef idx="1">
                            <a:srgbClr val="A82B3D"/>
                          </a:fillRef>
                          <a:effectRef idx="0">
                            <a:scrgbClr r="0" g="0" b="0"/>
                          </a:effectRef>
                          <a:fontRef idx="none"/>
                        </wps:style>
                        <wps:bodyPr/>
                      </wps:wsp>
                      <wps:wsp>
                        <wps:cNvPr id="974571" name="Shape 974571"/>
                        <wps:cNvSpPr/>
                        <wps:spPr>
                          <a:xfrm>
                            <a:off x="270534" y="62966"/>
                            <a:ext cx="20942" cy="41529"/>
                          </a:xfrm>
                          <a:custGeom>
                            <a:avLst/>
                            <a:gdLst/>
                            <a:ahLst/>
                            <a:cxnLst/>
                            <a:rect l="0" t="0" r="0" b="0"/>
                            <a:pathLst>
                              <a:path w="20942" h="41529">
                                <a:moveTo>
                                  <a:pt x="0" y="0"/>
                                </a:moveTo>
                                <a:lnTo>
                                  <a:pt x="20942" y="0"/>
                                </a:lnTo>
                                <a:lnTo>
                                  <a:pt x="20942" y="41529"/>
                                </a:lnTo>
                                <a:lnTo>
                                  <a:pt x="0" y="41529"/>
                                </a:lnTo>
                                <a:lnTo>
                                  <a:pt x="0" y="0"/>
                                </a:lnTo>
                              </a:path>
                            </a:pathLst>
                          </a:custGeom>
                          <a:ln w="0" cap="flat">
                            <a:miter lim="127000"/>
                          </a:ln>
                        </wps:spPr>
                        <wps:style>
                          <a:lnRef idx="0">
                            <a:srgbClr val="000000">
                              <a:alpha val="0"/>
                            </a:srgbClr>
                          </a:lnRef>
                          <a:fillRef idx="1">
                            <a:srgbClr val="A82B3D"/>
                          </a:fillRef>
                          <a:effectRef idx="0">
                            <a:scrgbClr r="0" g="0" b="0"/>
                          </a:effectRef>
                          <a:fontRef idx="none"/>
                        </wps:style>
                        <wps:bodyPr/>
                      </wps:wsp>
                      <wps:wsp>
                        <wps:cNvPr id="162" name="Shape 162"/>
                        <wps:cNvSpPr/>
                        <wps:spPr>
                          <a:xfrm>
                            <a:off x="229882" y="0"/>
                            <a:ext cx="102273" cy="62966"/>
                          </a:xfrm>
                          <a:custGeom>
                            <a:avLst/>
                            <a:gdLst/>
                            <a:ahLst/>
                            <a:cxnLst/>
                            <a:rect l="0" t="0" r="0" b="0"/>
                            <a:pathLst>
                              <a:path w="102273" h="62966">
                                <a:moveTo>
                                  <a:pt x="40653" y="0"/>
                                </a:moveTo>
                                <a:lnTo>
                                  <a:pt x="61595" y="0"/>
                                </a:lnTo>
                                <a:lnTo>
                                  <a:pt x="61595" y="41528"/>
                                </a:lnTo>
                                <a:lnTo>
                                  <a:pt x="102273" y="41528"/>
                                </a:lnTo>
                                <a:lnTo>
                                  <a:pt x="102273" y="62966"/>
                                </a:lnTo>
                                <a:lnTo>
                                  <a:pt x="61595" y="62966"/>
                                </a:lnTo>
                                <a:lnTo>
                                  <a:pt x="61595" y="41529"/>
                                </a:lnTo>
                                <a:lnTo>
                                  <a:pt x="40653" y="41529"/>
                                </a:lnTo>
                                <a:lnTo>
                                  <a:pt x="40653" y="62966"/>
                                </a:lnTo>
                                <a:lnTo>
                                  <a:pt x="0" y="62966"/>
                                </a:lnTo>
                                <a:lnTo>
                                  <a:pt x="0" y="41528"/>
                                </a:lnTo>
                                <a:lnTo>
                                  <a:pt x="40653" y="41528"/>
                                </a:lnTo>
                                <a:lnTo>
                                  <a:pt x="40653" y="0"/>
                                </a:lnTo>
                                <a:close/>
                              </a:path>
                            </a:pathLst>
                          </a:custGeom>
                          <a:ln w="0" cap="flat">
                            <a:miter lim="127000"/>
                          </a:ln>
                        </wps:spPr>
                        <wps:style>
                          <a:lnRef idx="0">
                            <a:srgbClr val="000000">
                              <a:alpha val="0"/>
                            </a:srgbClr>
                          </a:lnRef>
                          <a:fillRef idx="1">
                            <a:srgbClr val="A82B3D"/>
                          </a:fillRef>
                          <a:effectRef idx="0">
                            <a:scrgbClr r="0" g="0" b="0"/>
                          </a:effectRef>
                          <a:fontRef idx="none"/>
                        </wps:style>
                        <wps:bodyPr/>
                      </wps:wsp>
                    </wpg:wgp>
                  </a:graphicData>
                </a:graphic>
              </wp:inline>
            </w:drawing>
          </mc:Choice>
          <mc:Fallback xmlns:a="http://schemas.openxmlformats.org/drawingml/2006/main">
            <w:pict>
              <v:group id="Group 547202" style="width:55.2449pt;height:25.8747pt;mso-position-horizontal-relative:char;mso-position-vertical-relative:line" coordsize="7016,3286">
                <v:shape id="Shape 142" style="position:absolute;width:0;height:0;left:6150;top:2345;" coordsize="12,0" path="m12,0l0,0x">
                  <v:stroke weight="0pt" endcap="flat" joinstyle="miter" miterlimit="10" on="false" color="#000000" opacity="0"/>
                  <v:fill on="true" color="#a82b3d"/>
                </v:shape>
                <v:shape id="Shape 143" style="position:absolute;width:963;height:1611;left:5186;top:735;" coordsize="96355,161188" path="m47689,0c54635,0,61544,838,68187,2502c72111,3480,75857,4775,79502,6261c85534,8725,91174,11836,96355,15532l96355,161087c96215,161188,47460,121768,47460,121768l0,160490l0,14783c3696,12217,7595,9906,11747,7963c13462,7150,15253,6502,17018,5817c26670,2070,37123,0,47689,0x">
                  <v:stroke weight="0pt" endcap="flat" joinstyle="miter" miterlimit="10" on="false" color="#000000" opacity="0"/>
                  <v:fill on="true" color="#a82b3d"/>
                </v:shape>
                <v:shape id="Shape 144" style="position:absolute;width:1131;height:2262;left:4533;top:441;" coordsize="113170,226289" path="m113170,0l113170,22820l104110,22152c93644,23152,83344,25914,73825,30416c42888,45021,21679,76594,21781,113119c21857,142697,35941,168897,57709,185623l57709,205943l71717,194488c71717,194488,71717,194488,71704,194488l71704,194475c84151,200851,98210,204521,113170,204521l113170,226289c50673,226289,0,175628,0,113119c0,50648,50673,0,113170,0x">
                  <v:stroke weight="0pt" endcap="flat" joinstyle="miter" miterlimit="10" on="false" color="#000000" opacity="0"/>
                  <v:fill on="true" color="#a82b3d"/>
                </v:shape>
                <v:shape id="Shape 145" style="position:absolute;width:1131;height:2262;left:5664;top:441;" coordsize="113157,226289" path="m0,0c62484,0,113157,50648,113157,113119c113157,175628,62484,226289,0,226289l0,204521c14719,204521,28587,200952,40932,194755l56159,207226l56159,185102c77559,168377,91389,142380,91389,113119c91389,70358,61950,34417,22225,24460l0,22820l0,0x">
                  <v:stroke weight="0pt" endcap="flat" joinstyle="miter" miterlimit="10" on="false" color="#000000" opacity="0"/>
                  <v:fill on="true" color="#a82b3d"/>
                </v:shape>
                <v:shape id="Shape 146" style="position:absolute;width:351;height:429;left:4305;top:2856;" coordsize="35116,42913" path="m32144,0l35065,0l35065,10528l32144,10528l32144,7480c28372,4712,25578,3645,21616,3645c12459,3645,6135,10960,6135,21425c6135,31699,13322,39688,22543,39688c25642,39688,28182,38887,32144,36589l32144,32067l35116,32067l35116,40310c29921,42227,26505,42913,22111,42913c9360,42913,0,33998,0,21793c0,9779,9360,495,21438,495c25464,495,28677,1168,32144,2781l32144,0x">
                  <v:stroke weight="0pt" endcap="flat" joinstyle="miter" miterlimit="10" on="false" color="#000000" opacity="0"/>
                  <v:fill on="true" color="#a82b3d"/>
                </v:shape>
                <v:shape id="Shape 147" style="position:absolute;width:219;height:287;left:4679;top:2990;" coordsize="21984,28791" path="m18338,0c19076,0,19698,190,20066,559l21984,2235l18390,6566c17158,5385,16294,4839,15672,4839c14554,4839,13450,5880,10033,10020l10033,26505l15989,26505l15989,28791l698,28791l698,26505l5397,26505l5397,4204l0,4204l0,2540l8928,127l10033,127l10033,7061c14491,1359,16104,0,18338,0x">
                  <v:stroke weight="0pt" endcap="flat" joinstyle="miter" miterlimit="10" on="false" color="#000000" opacity="0"/>
                  <v:fill on="true" color="#a82b3d"/>
                </v:shape>
                <v:shape id="Shape 148" style="position:absolute;width:135;height:296;left:4901;top:2990;" coordsize="13595,29604" path="m13564,0l13595,14l13595,2622l13564,2603c8915,2603,5321,7925,5321,14795c5321,21615,8915,27000,13564,27000l13595,26981l13595,29589l13564,29604c6070,29604,0,22974,0,14795c0,6617,6070,0,13564,0x">
                  <v:stroke weight="0pt" endcap="flat" joinstyle="miter" miterlimit="10" on="false" color="#000000" opacity="0"/>
                  <v:fill on="true" color="#a82b3d"/>
                </v:shape>
                <v:shape id="Shape 149" style="position:absolute;width:135;height:295;left:5037;top:2990;" coordsize="13519,29575" path="m0,0l9554,4316c12005,6993,13519,10692,13519,14781c13519,18871,12005,22572,9554,25252l0,29575l0,26967l5864,23460c7360,21268,8274,18216,8274,14781c8274,11346,7360,8298,5864,6109l0,2608l0,0x">
                  <v:stroke weight="0pt" endcap="flat" joinstyle="miter" miterlimit="10" on="false" color="#000000" opacity="0"/>
                  <v:fill on="true" color="#a82b3d"/>
                </v:shape>
                <v:shape id="Shape 150" style="position:absolute;width:198;height:297;left:5216;top:2988;" coordsize="19888,29731" path="m16548,0l19202,0l17716,8915l15049,8915c15303,8242,15430,7430,15430,6883c15430,4458,12636,2477,9296,2477c6070,2477,3975,4216,3975,6883c3975,9550,4407,9855,11899,12890c17958,15304,19888,17336,19888,21298c19888,26264,16040,29731,10528,29731c7061,29731,4457,28931,2667,27254l2667,29477l190,29477l190,20688l3035,20688l3035,22352c3035,25019,6515,27368,10351,27368c13754,27368,16294,25578,16294,23101c16294,20625,14554,19266,8065,16726c2121,14427,0,12141,0,8242c0,3404,3911,127,9601,127c12332,127,14439,813,16166,2235l16548,0x">
                  <v:stroke weight="0pt" endcap="flat" joinstyle="miter" miterlimit="10" on="false" color="#000000" opacity="0"/>
                  <v:fill on="true" color="#a82b3d"/>
                </v:shape>
                <v:shape id="Shape 151" style="position:absolute;width:198;height:297;left:5466;top:2988;" coordsize="19876,29731" path="m16535,0l19202,0l17704,8915l15049,8915c15291,8242,15418,7430,15418,6883c15418,4458,12623,2477,9283,2477c6070,2477,3962,4216,3962,6883c3962,9550,4407,9855,11887,12890c17958,15304,19876,17336,19876,21298c19876,26264,16040,29731,10528,29731c7061,29731,4470,28931,2654,27254l2654,29477l178,29477l178,20688l3035,20688l3035,22352c3035,25019,6502,27368,10337,27368c13741,27368,16294,25578,16294,23101c16294,20625,14554,19266,8051,16726c2108,14427,0,12141,0,8242c0,3404,3899,127,9601,127c12332,127,14427,813,16154,2235l16535,0x">
                  <v:stroke weight="0pt" endcap="flat" joinstyle="miter" miterlimit="10" on="false" color="#000000" opacity="0"/>
                  <v:fill on="true" color="#a82b3d"/>
                </v:shape>
                <v:shape id="Shape 152" style="position:absolute;width:482;height:414;left:5714;top:2869;" coordsize="48298,41478" path="m0,0l9982,0l24092,31572l38633,0l48298,0l48298,2286l43650,2286l43650,38570l48298,38570l48298,40869l33566,40869l33566,38570l38202,38570l38202,8115l23038,41478l7810,7430l7810,38570l12509,38570l12509,40869l0,40869l0,38570l4712,38570l4712,2286l0,2286l0,0x">
                  <v:stroke weight="0pt" endcap="flat" joinstyle="miter" miterlimit="10" on="false" color="#000000" opacity="0"/>
                  <v:fill on="true" color="#a82b3d"/>
                </v:shape>
                <v:shape id="Shape 153" style="position:absolute;width:103;height:147;left:6229;top:3138;" coordsize="10313,14776" path="m10313,0l10313,2508l5017,3753l5017,6839c5017,9442,6693,11119,9284,11119l10313,10584l10313,13195l7430,14776c3163,14776,0,11805,0,7652c0,4489,2057,1899,5017,1213l10313,0x">
                  <v:stroke weight="0pt" endcap="flat" joinstyle="miter" miterlimit="10" on="false" color="#000000" opacity="0"/>
                  <v:fill on="true" color="#a82b3d"/>
                </v:shape>
                <v:shape id="Shape 154" style="position:absolute;width:88;height:77;left:6243;top:2992;" coordsize="8890,7763" path="m8890,0l8890,2386l6007,3178l6007,6150l495,7763c76,7026,0,6709,0,6023c0,4226,1039,2664,2780,1551l8890,0x">
                  <v:stroke weight="0pt" endcap="flat" joinstyle="miter" miterlimit="10" on="false" color="#000000" opacity="0"/>
                  <v:fill on="true" color="#a82b3d"/>
                </v:shape>
                <v:shape id="Shape 155" style="position:absolute;width:147;height:293;left:6332;top:2990;" coordsize="14707,29350" path="m889,0c6350,0,9931,2718,9931,6807l9931,25883l14707,25883l14707,27622l10554,28918c9754,29172,8877,29350,8395,29350c6477,29350,5359,27991,5359,25705l5359,25082l0,28022l0,25411l5296,22657l5296,16091l0,17336l0,14827l5296,13614l5296,6617c5296,4153,3442,2349,953,2349l0,2611l0,226l889,0x">
                  <v:stroke weight="0pt" endcap="flat" joinstyle="miter" miterlimit="10" on="false" color="#000000" opacity="0"/>
                  <v:fill on="true" color="#a82b3d"/>
                </v:shape>
                <v:shape id="Shape 156" style="position:absolute;width:219;height:287;left:6497;top:2990;" coordsize="21971,28791" path="m18314,0c19062,0,19672,190,20053,559l21971,2235l18390,6566c17132,5385,16269,4839,15646,4839c14529,4839,13424,5880,10020,10020l10020,26505l15964,26505l15964,28791l660,28791l660,26505l5372,26505l5372,4204l0,4204l0,2540l8903,127l10020,127l10020,7061c14478,1359,16090,0,18314,0x">
                  <v:stroke weight="0pt" endcap="flat" joinstyle="miter" miterlimit="10" on="false" color="#000000" opacity="0"/>
                  <v:fill on="true" color="#a82b3d"/>
                </v:shape>
                <v:shape id="Shape 157" style="position:absolute;width:203;height:280;left:6812;top:2997;" coordsize="20383,28054" path="m7073,0l19393,0l19393,2299l14630,2299l5029,11455l16852,25756l20383,25756l20383,28054l12700,28054l0,12814l11087,2299l7073,2299l7073,0x">
                  <v:stroke weight="0pt" endcap="flat" joinstyle="miter" miterlimit="10" on="false" color="#000000" opacity="0"/>
                  <v:fill on="true" color="#a82b3d"/>
                </v:shape>
                <v:shape id="Shape 158" style="position:absolute;width:147;height:456;left:6706;top:2821;" coordsize="14732,45631" path="m8915,0l10096,0l10096,43332l14732,43332l14732,45631l736,45631l736,43332l5448,43332l5448,4077l0,4077l0,2413l8915,0x">
                  <v:stroke weight="0pt" endcap="flat" joinstyle="miter" miterlimit="10" on="false" color="#000000" opacity="0"/>
                  <v:fill on="true" color="#a82b3d"/>
                </v:shape>
                <v:shape id="Shape 159" style="position:absolute;width:2077;height:2406;left:0;top:446;" coordsize="207759,240678" path="m98272,1118c109956,0,121488,279,133109,1118c140639,2438,146672,4839,154394,7290c181013,20574,207759,39243,190678,81839l146748,174765l124015,174765l120993,90983l83121,174765l58890,174765l46774,65088l69494,65088l75552,142773l113424,65088l137655,65088l142202,139725c145681,131356,149123,122961,152667,114617c158762,100254,164465,85700,170535,71323c171767,68428,172796,65278,174130,62471c178651,53010,171285,42342,164846,35852c157429,28385,147790,23393,137655,20917c72644,4991,27330,53886,21018,106210c13005,181445,67589,218758,134620,199123l122326,187185l179857,185509l144424,226162l141770,215100c73889,240678,8585,202717,1473,139725c0,128041,38,116370,1473,104686c12509,48260,42837,12903,98272,1118x">
                  <v:stroke weight="0pt" endcap="flat" joinstyle="miter" miterlimit="10" on="false" color="#000000" opacity="0"/>
                  <v:fill on="true" color="#a82b3d"/>
                </v:shape>
                <v:shape id="Shape 160" style="position:absolute;width:997;height:1756;left:3128;top:828;" coordsize="99784,175616" path="m0,0l99784,97574l63957,112166l87364,160236l54331,175616l36957,122745l0,141631l0,0x">
                  <v:stroke weight="0pt" endcap="flat" joinstyle="miter" miterlimit="10" on="false" color="#000000" opacity="0"/>
                  <v:fill on="true" color="#a82b3d"/>
                </v:shape>
                <v:shape id="Shape 974572" style="position:absolute;width:209;height:415;left:2705;top:629;" coordsize="20942,41529" path="m0,0l20942,0l20942,41529l0,41529l0,0">
                  <v:stroke weight="0pt" endcap="flat" joinstyle="miter" miterlimit="10" on="false" color="#000000" opacity="0"/>
                  <v:fill on="true" color="#a82b3d"/>
                </v:shape>
                <v:shape id="Shape 162" style="position:absolute;width:1022;height:629;left:2298;top:0;" coordsize="102273,62966" path="m40653,0l61595,0l61595,41528l102273,41528l102273,62966l61595,62966l61595,41529l40653,41529l40653,62966l0,62966l0,41528l40653,41528l40653,0x">
                  <v:stroke weight="0pt" endcap="flat" joinstyle="miter" miterlimit="10" on="false" color="#000000" opacity="0"/>
                  <v:fill on="true" color="#a82b3d"/>
                </v:shape>
              </v:group>
            </w:pict>
          </mc:Fallback>
        </mc:AlternateContent>
      </w:r>
    </w:p>
    <w:p w:rsidR="00283279" w:rsidRDefault="003F719C" w:rsidP="002318A0">
      <w:pPr>
        <w:spacing w:after="112" w:line="216" w:lineRule="auto"/>
        <w:ind w:left="-9214" w:right="-3626"/>
        <w:jc w:val="left"/>
      </w:pPr>
      <w:r>
        <w:rPr>
          <w:rFonts w:ascii="Calibri" w:eastAsia="Calibri" w:hAnsi="Calibri" w:cs="Calibri"/>
          <w:b/>
          <w:sz w:val="36"/>
        </w:rPr>
        <w:t xml:space="preserve">transmission </w:t>
      </w:r>
      <w:r>
        <w:rPr>
          <w:rFonts w:ascii="Calibri" w:eastAsia="Calibri" w:hAnsi="Calibri" w:cs="Calibri"/>
          <w:b/>
          <w:sz w:val="36"/>
        </w:rPr>
        <w:t>i</w:t>
      </w:r>
      <w:r>
        <w:rPr>
          <w:rFonts w:ascii="Calibri" w:eastAsia="Calibri" w:hAnsi="Calibri" w:cs="Calibri"/>
          <w:b/>
          <w:sz w:val="36"/>
        </w:rPr>
        <w:t>n the USA: a mathematical modelling study</w:t>
      </w:r>
    </w:p>
    <w:p w:rsidR="00283279" w:rsidRDefault="00283279">
      <w:pPr>
        <w:sectPr w:rsidR="00283279">
          <w:headerReference w:type="even" r:id="rId7"/>
          <w:headerReference w:type="default" r:id="rId8"/>
          <w:footerReference w:type="even" r:id="rId9"/>
          <w:footerReference w:type="default" r:id="rId10"/>
          <w:headerReference w:type="first" r:id="rId11"/>
          <w:footerReference w:type="first" r:id="rId12"/>
          <w:type w:val="continuous"/>
          <w:pgSz w:w="11906" w:h="15987"/>
          <w:pgMar w:top="2356" w:right="1020" w:bottom="909" w:left="9792" w:header="720" w:footer="720" w:gutter="0"/>
          <w:cols w:space="720"/>
        </w:sectPr>
      </w:pPr>
    </w:p>
    <w:p w:rsidR="00283279" w:rsidRDefault="003F719C">
      <w:pPr>
        <w:spacing w:after="216" w:line="259" w:lineRule="auto"/>
        <w:ind w:left="0" w:right="0" w:firstLine="0"/>
        <w:jc w:val="left"/>
      </w:pPr>
      <w:r>
        <w:rPr>
          <w:rFonts w:ascii="Calibri" w:eastAsia="Calibri" w:hAnsi="Calibri" w:cs="Calibri"/>
          <w:i/>
          <w:color w:val="A82B3D"/>
          <w:sz w:val="17"/>
        </w:rPr>
        <w:lastRenderedPageBreak/>
        <w:t>Hamada S Badr, Hongru Du, Maximilian Marshall, Ensheng Dong, Marietta M Squire, Lauren M Gardner</w:t>
      </w:r>
    </w:p>
    <w:p w:rsidR="00283279" w:rsidRDefault="003F719C">
      <w:pPr>
        <w:pStyle w:val="Heading1"/>
        <w:ind w:left="-5"/>
      </w:pPr>
      <w:r>
        <w:t>Summary</w:t>
      </w:r>
    </w:p>
    <w:p w:rsidR="00283279" w:rsidRDefault="003F719C">
      <w:pPr>
        <w:spacing w:after="225" w:line="256" w:lineRule="auto"/>
        <w:ind w:left="-5" w:right="31"/>
      </w:pPr>
      <w:r>
        <w:rPr>
          <w:rFonts w:ascii="Calibri" w:eastAsia="Calibri" w:hAnsi="Calibri" w:cs="Calibri"/>
          <w:b/>
          <w:color w:val="A82B3D"/>
        </w:rPr>
        <w:t xml:space="preserve">Background </w:t>
      </w:r>
      <w:r>
        <w:rPr>
          <w:b/>
        </w:rPr>
        <w:t>Within 4 months of COVID-19 first being reported in the USA, it spread to every state and to more than 90% of all counties.</w:t>
      </w:r>
      <w:r>
        <w:rPr>
          <w:b/>
        </w:rPr>
        <w:t xml:space="preserve"> During this period, the US COVID-19 response was highly decentralised, with stay-at-home directives issued by state and local officials, subject to varying levels of enforcement. The absence of a centralised policy and timeline combined with the complex d</w:t>
      </w:r>
      <w:r>
        <w:rPr>
          <w:b/>
        </w:rPr>
        <w:t>ynamics of human mobility and the variable intensity of local outbreaks makes assessing the effect of large-scale social distancing on COVID-19 transmission in the USA a challenge.</w:t>
      </w:r>
    </w:p>
    <w:p w:rsidR="00283279" w:rsidRDefault="003F719C">
      <w:pPr>
        <w:spacing w:after="225" w:line="256" w:lineRule="auto"/>
        <w:ind w:left="-5" w:right="31"/>
      </w:pPr>
      <w:r>
        <w:rPr>
          <w:rFonts w:ascii="Calibri" w:eastAsia="Calibri" w:hAnsi="Calibri" w:cs="Calibri"/>
          <w:b/>
          <w:color w:val="A82B3D"/>
        </w:rPr>
        <w:t xml:space="preserve">Methods </w:t>
      </w:r>
      <w:r>
        <w:rPr>
          <w:b/>
        </w:rPr>
        <w:t>We used daily mobility data derived from aggregated and anonymised cell (mobile) phone data, provided by Teralytics (Zürich, Switzerland)  from Jan 1 to April 20, 2020, to capture real-time trends in movement patterns for each US county, and used these dat</w:t>
      </w:r>
      <w:r>
        <w:rPr>
          <w:b/>
        </w:rPr>
        <w:t>a to generate a social distancing metric. We used epidemiological data to compute the COVID-19 growth rate ratio for a given county on a given day. Using these metrics, we evaluated how social distancing, measured by the relative change in mobility, affect</w:t>
      </w:r>
      <w:r>
        <w:rPr>
          <w:b/>
        </w:rPr>
        <w:t>ed the rate of new infections in the 25 counties in the USA with the highest number of confirmed cases on April 16, 2020, by fitting a statistical model for each county.</w:t>
      </w:r>
    </w:p>
    <w:p w:rsidR="00283279" w:rsidRDefault="003F719C">
      <w:pPr>
        <w:spacing w:after="225" w:line="256" w:lineRule="auto"/>
        <w:ind w:left="-5" w:right="31"/>
      </w:pPr>
      <w:r>
        <w:rPr>
          <w:rFonts w:ascii="Calibri" w:eastAsia="Calibri" w:hAnsi="Calibri" w:cs="Calibri"/>
          <w:b/>
          <w:color w:val="A82B3D"/>
        </w:rPr>
        <w:t xml:space="preserve">Findings </w:t>
      </w:r>
      <w:r>
        <w:rPr>
          <w:b/>
        </w:rPr>
        <w:t>Our analysis revealed that mobility patterns are strongly correlated with dec</w:t>
      </w:r>
      <w:r>
        <w:rPr>
          <w:b/>
        </w:rPr>
        <w:t xml:space="preserve">reased COVID-19 case growth rates for the most affected counties in the USA, with Pearson correlation coefficients above 0·7 for 20 of the 25 counties evaluated. Additionally, the effect of changes in mobility patterns, which dropped by 35–63% relative to </w:t>
      </w:r>
      <w:r>
        <w:rPr>
          <w:b/>
        </w:rPr>
        <w:t>the normal conditions, on COVID-19 transmission are not likely to be perceptible for 9–12 days, and potentially up to 3 weeks, which is consistent with the incubation time of severe acute respiratory syndrome coronavirus 2 plus additional time for reportin</w:t>
      </w:r>
      <w:r>
        <w:rPr>
          <w:b/>
        </w:rPr>
        <w:t xml:space="preserve">g. We also show evidence that behavioural changes were already underway in many US counties days to weeks before state-level or local-level stay-at-home policies were implemented, implying that individuals anticipated public health directives where social </w:t>
      </w:r>
      <w:r>
        <w:rPr>
          <w:b/>
        </w:rPr>
        <w:t>distancing was adopted, despite a mixed political message.</w:t>
      </w:r>
    </w:p>
    <w:p w:rsidR="00283279" w:rsidRDefault="003F719C">
      <w:pPr>
        <w:spacing w:after="225" w:line="256" w:lineRule="auto"/>
        <w:ind w:left="-5" w:right="31"/>
      </w:pPr>
      <w:r>
        <w:rPr>
          <w:rFonts w:ascii="Calibri" w:eastAsia="Calibri" w:hAnsi="Calibri" w:cs="Calibri"/>
          <w:b/>
          <w:color w:val="A82B3D"/>
        </w:rPr>
        <w:t>Interpretation</w:t>
      </w:r>
      <w:r>
        <w:rPr>
          <w:rFonts w:ascii="Calibri" w:eastAsia="Calibri" w:hAnsi="Calibri" w:cs="Calibri"/>
          <w:b/>
        </w:rPr>
        <w:t xml:space="preserve"> </w:t>
      </w:r>
      <w:r>
        <w:rPr>
          <w:b/>
        </w:rPr>
        <w:t>This study strongly supports a role of social distancing as an effective way to mitigate COVID-19 transmission in the USA. Until a COVID-19 vaccine is widely available, social distan</w:t>
      </w:r>
      <w:r>
        <w:rPr>
          <w:b/>
        </w:rPr>
        <w:t>cing will remain one of the primary measures to combat disease spread, and these findings should serve to support more timely policy making around social distancing in the USA in the future.</w:t>
      </w:r>
    </w:p>
    <w:p w:rsidR="00283279" w:rsidRDefault="003F719C">
      <w:pPr>
        <w:spacing w:after="214" w:line="259" w:lineRule="auto"/>
        <w:ind w:left="0" w:right="0" w:firstLine="0"/>
        <w:jc w:val="left"/>
      </w:pPr>
      <w:r>
        <w:rPr>
          <w:rFonts w:ascii="Calibri" w:eastAsia="Calibri" w:hAnsi="Calibri" w:cs="Calibri"/>
          <w:b/>
          <w:color w:val="A82B3D"/>
        </w:rPr>
        <w:lastRenderedPageBreak/>
        <w:t xml:space="preserve">Funding </w:t>
      </w:r>
      <w:r>
        <w:rPr>
          <w:b/>
        </w:rPr>
        <w:t>None.</w:t>
      </w:r>
    </w:p>
    <w:p w:rsidR="00283279" w:rsidRDefault="003F719C">
      <w:pPr>
        <w:spacing w:after="225" w:line="256" w:lineRule="auto"/>
        <w:ind w:left="-5" w:right="31"/>
      </w:pPr>
      <w:r>
        <w:rPr>
          <w:rFonts w:ascii="Calibri" w:eastAsia="Calibri" w:hAnsi="Calibri" w:cs="Calibri"/>
          <w:b/>
          <w:color w:val="A82B3D"/>
        </w:rPr>
        <w:t xml:space="preserve">Copyright </w:t>
      </w:r>
      <w:r>
        <w:rPr>
          <w:b/>
        </w:rPr>
        <w:t>© 2020 Elsevier Ltd. All rights reserved.</w:t>
      </w:r>
    </w:p>
    <w:p w:rsidR="00283279" w:rsidRDefault="003F719C">
      <w:pPr>
        <w:spacing w:after="57" w:line="265" w:lineRule="auto"/>
        <w:ind w:left="0" w:right="284" w:firstLine="0"/>
        <w:jc w:val="left"/>
      </w:pPr>
      <w:r>
        <w:rPr>
          <w:rFonts w:ascii="Calibri" w:eastAsia="Calibri" w:hAnsi="Calibri" w:cs="Calibri"/>
          <w:b/>
          <w:i/>
          <w:color w:val="A82B3D"/>
          <w:sz w:val="13"/>
        </w:rPr>
        <w:t>Lancet Infect Dis</w:t>
      </w:r>
      <w:r>
        <w:rPr>
          <w:rFonts w:ascii="Calibri" w:eastAsia="Calibri" w:hAnsi="Calibri" w:cs="Calibri"/>
          <w:b/>
          <w:color w:val="A82B3D"/>
          <w:sz w:val="13"/>
        </w:rPr>
        <w:t xml:space="preserve"> 2020; 20: 1247–54</w:t>
      </w:r>
    </w:p>
    <w:p w:rsidR="00283279" w:rsidRDefault="003F719C">
      <w:pPr>
        <w:spacing w:after="58"/>
        <w:ind w:left="-5" w:right="363"/>
        <w:jc w:val="left"/>
      </w:pPr>
      <w:r>
        <w:rPr>
          <w:rFonts w:ascii="Calibri" w:eastAsia="Calibri" w:hAnsi="Calibri" w:cs="Calibri"/>
          <w:sz w:val="13"/>
        </w:rPr>
        <w:t xml:space="preserve">Published </w:t>
      </w:r>
      <w:r>
        <w:rPr>
          <w:rFonts w:ascii="Calibri" w:eastAsia="Calibri" w:hAnsi="Calibri" w:cs="Calibri"/>
          <w:b/>
          <w:color w:val="5B6769"/>
          <w:sz w:val="13"/>
        </w:rPr>
        <w:t>Online</w:t>
      </w:r>
      <w:r>
        <w:rPr>
          <w:rFonts w:ascii="Calibri" w:eastAsia="Calibri" w:hAnsi="Calibri" w:cs="Calibri"/>
          <w:sz w:val="13"/>
        </w:rPr>
        <w:t xml:space="preserve"> July 1, 2020 https://doi.org/10.1016/ S1473-3099(20)30553-3</w:t>
      </w:r>
    </w:p>
    <w:p w:rsidR="00283279" w:rsidRDefault="003F719C">
      <w:pPr>
        <w:ind w:left="-5" w:right="0"/>
        <w:jc w:val="left"/>
      </w:pPr>
      <w:r>
        <w:rPr>
          <w:rFonts w:ascii="Calibri" w:eastAsia="Calibri" w:hAnsi="Calibri" w:cs="Calibri"/>
          <w:b/>
          <w:sz w:val="13"/>
        </w:rPr>
        <w:t xml:space="preserve">Department of Earth and Planetary Sciences </w:t>
      </w:r>
      <w:r>
        <w:rPr>
          <w:rFonts w:ascii="Calibri" w:eastAsia="Calibri" w:hAnsi="Calibri" w:cs="Calibri"/>
          <w:sz w:val="13"/>
        </w:rPr>
        <w:t>(H S Badr PhD)</w:t>
      </w:r>
      <w:r>
        <w:rPr>
          <w:rFonts w:ascii="Calibri" w:eastAsia="Calibri" w:hAnsi="Calibri" w:cs="Calibri"/>
          <w:b/>
          <w:sz w:val="13"/>
        </w:rPr>
        <w:t xml:space="preserve">, and </w:t>
      </w:r>
    </w:p>
    <w:p w:rsidR="00283279" w:rsidRDefault="003F719C">
      <w:pPr>
        <w:ind w:left="-5" w:right="0"/>
        <w:jc w:val="left"/>
      </w:pPr>
      <w:r>
        <w:rPr>
          <w:rFonts w:ascii="Calibri" w:eastAsia="Calibri" w:hAnsi="Calibri" w:cs="Calibri"/>
          <w:b/>
          <w:sz w:val="13"/>
        </w:rPr>
        <w:t xml:space="preserve">Department of Civil and </w:t>
      </w:r>
    </w:p>
    <w:p w:rsidR="00283279" w:rsidRDefault="003F719C">
      <w:pPr>
        <w:ind w:left="-5" w:right="0"/>
        <w:jc w:val="left"/>
      </w:pPr>
      <w:r>
        <w:rPr>
          <w:rFonts w:ascii="Calibri" w:eastAsia="Calibri" w:hAnsi="Calibri" w:cs="Calibri"/>
          <w:b/>
          <w:sz w:val="13"/>
        </w:rPr>
        <w:t>Systems Engineering</w:t>
      </w:r>
      <w:r>
        <w:rPr>
          <w:rFonts w:ascii="Calibri" w:eastAsia="Calibri" w:hAnsi="Calibri" w:cs="Calibri"/>
          <w:sz w:val="13"/>
        </w:rPr>
        <w:t xml:space="preserve"> (H Du MS, M Marshall MS, E Dong MS, </w:t>
      </w:r>
    </w:p>
    <w:p w:rsidR="00283279" w:rsidRDefault="003F719C">
      <w:pPr>
        <w:ind w:left="-5" w:right="0"/>
        <w:jc w:val="left"/>
      </w:pPr>
      <w:r>
        <w:rPr>
          <w:rFonts w:ascii="Calibri" w:eastAsia="Calibri" w:hAnsi="Calibri" w:cs="Calibri"/>
          <w:sz w:val="13"/>
        </w:rPr>
        <w:t xml:space="preserve">M M Squire MS, </w:t>
      </w:r>
    </w:p>
    <w:p w:rsidR="00283279" w:rsidRDefault="003F719C">
      <w:pPr>
        <w:ind w:left="-5" w:right="0"/>
        <w:jc w:val="left"/>
      </w:pPr>
      <w:r>
        <w:rPr>
          <w:rFonts w:ascii="Calibri" w:eastAsia="Calibri" w:hAnsi="Calibri" w:cs="Calibri"/>
          <w:sz w:val="13"/>
        </w:rPr>
        <w:t>L M Gardner PhD)</w:t>
      </w:r>
      <w:r>
        <w:rPr>
          <w:rFonts w:ascii="Calibri" w:eastAsia="Calibri" w:hAnsi="Calibri" w:cs="Calibri"/>
          <w:b/>
          <w:sz w:val="13"/>
        </w:rPr>
        <w:t xml:space="preserve">, </w:t>
      </w:r>
    </w:p>
    <w:p w:rsidR="00283279" w:rsidRDefault="003F719C">
      <w:pPr>
        <w:spacing w:after="58"/>
        <w:ind w:left="-5" w:right="0"/>
        <w:jc w:val="left"/>
      </w:pPr>
      <w:r>
        <w:rPr>
          <w:rFonts w:ascii="Calibri" w:eastAsia="Calibri" w:hAnsi="Calibri" w:cs="Calibri"/>
          <w:b/>
          <w:sz w:val="13"/>
        </w:rPr>
        <w:t>Johns Hopkins University, Baltimore, MD, USA</w:t>
      </w:r>
      <w:r>
        <w:rPr>
          <w:rFonts w:ascii="Calibri" w:eastAsia="Calibri" w:hAnsi="Calibri" w:cs="Calibri"/>
          <w:sz w:val="13"/>
        </w:rPr>
        <w:t xml:space="preserve"> </w:t>
      </w:r>
    </w:p>
    <w:p w:rsidR="00283279" w:rsidRDefault="003F719C">
      <w:pPr>
        <w:ind w:left="-5" w:right="0"/>
        <w:jc w:val="left"/>
      </w:pPr>
      <w:r>
        <w:rPr>
          <w:rFonts w:ascii="Calibri" w:eastAsia="Calibri" w:hAnsi="Calibri" w:cs="Calibri"/>
          <w:sz w:val="13"/>
        </w:rPr>
        <w:t xml:space="preserve">Correspondence to:  </w:t>
      </w:r>
    </w:p>
    <w:p w:rsidR="00283279" w:rsidRDefault="003F719C">
      <w:pPr>
        <w:ind w:left="-5" w:right="0"/>
        <w:jc w:val="left"/>
      </w:pPr>
      <w:r>
        <w:rPr>
          <w:rFonts w:ascii="Calibri" w:eastAsia="Calibri" w:hAnsi="Calibri" w:cs="Calibri"/>
          <w:sz w:val="13"/>
        </w:rPr>
        <w:t xml:space="preserve">Dr Lauren M Gardner, </w:t>
      </w:r>
    </w:p>
    <w:p w:rsidR="00283279" w:rsidRDefault="003F719C">
      <w:pPr>
        <w:ind w:left="-5" w:right="0"/>
        <w:jc w:val="left"/>
      </w:pPr>
      <w:r>
        <w:rPr>
          <w:rFonts w:ascii="Calibri" w:eastAsia="Calibri" w:hAnsi="Calibri" w:cs="Calibri"/>
          <w:sz w:val="13"/>
        </w:rPr>
        <w:t xml:space="preserve">Department of Civil and Systems </w:t>
      </w:r>
    </w:p>
    <w:p w:rsidR="00283279" w:rsidRDefault="003F719C">
      <w:pPr>
        <w:ind w:left="-5" w:right="0"/>
        <w:jc w:val="left"/>
      </w:pPr>
      <w:r>
        <w:rPr>
          <w:rFonts w:ascii="Calibri" w:eastAsia="Calibri" w:hAnsi="Calibri" w:cs="Calibri"/>
          <w:sz w:val="13"/>
        </w:rPr>
        <w:t xml:space="preserve">Engineering, Johns Hopkins </w:t>
      </w:r>
    </w:p>
    <w:p w:rsidR="00283279" w:rsidRDefault="003F719C">
      <w:pPr>
        <w:ind w:left="-5" w:right="0"/>
        <w:jc w:val="left"/>
      </w:pPr>
      <w:r>
        <w:rPr>
          <w:rFonts w:ascii="Calibri" w:eastAsia="Calibri" w:hAnsi="Calibri" w:cs="Calibri"/>
          <w:sz w:val="13"/>
        </w:rPr>
        <w:t xml:space="preserve">University, Baltimore 21218, </w:t>
      </w:r>
    </w:p>
    <w:p w:rsidR="00283279" w:rsidRDefault="003F719C">
      <w:pPr>
        <w:ind w:left="-5" w:right="0"/>
        <w:jc w:val="left"/>
      </w:pPr>
      <w:r>
        <w:rPr>
          <w:rFonts w:ascii="Calibri" w:eastAsia="Calibri" w:hAnsi="Calibri" w:cs="Calibri"/>
          <w:sz w:val="13"/>
        </w:rPr>
        <w:t>MD,</w:t>
      </w:r>
      <w:r>
        <w:rPr>
          <w:rFonts w:ascii="Calibri" w:eastAsia="Calibri" w:hAnsi="Calibri" w:cs="Calibri"/>
          <w:sz w:val="13"/>
        </w:rPr>
        <w:t xml:space="preserve"> USA </w:t>
      </w:r>
    </w:p>
    <w:tbl>
      <w:tblPr>
        <w:tblStyle w:val="TableGrid"/>
        <w:tblpPr w:vertAnchor="text" w:horzAnchor="margin" w:tblpY="4128"/>
        <w:tblOverlap w:val="never"/>
        <w:tblW w:w="10477" w:type="dxa"/>
        <w:tblInd w:w="0" w:type="dxa"/>
        <w:tblCellMar>
          <w:top w:w="0" w:type="dxa"/>
          <w:left w:w="0" w:type="dxa"/>
          <w:bottom w:w="0" w:type="dxa"/>
          <w:right w:w="323" w:type="dxa"/>
        </w:tblCellMar>
        <w:tblLook w:val="04A0" w:firstRow="1" w:lastRow="0" w:firstColumn="1" w:lastColumn="0" w:noHBand="0" w:noVBand="1"/>
      </w:tblPr>
      <w:tblGrid>
        <w:gridCol w:w="10477"/>
      </w:tblGrid>
      <w:tr w:rsidR="00283279">
        <w:trPr>
          <w:trHeight w:val="159"/>
        </w:trPr>
        <w:tc>
          <w:tcPr>
            <w:tcW w:w="1196" w:type="dxa"/>
            <w:tcBorders>
              <w:top w:val="nil"/>
              <w:left w:val="nil"/>
              <w:bottom w:val="nil"/>
              <w:right w:val="nil"/>
            </w:tcBorders>
          </w:tcPr>
          <w:tbl>
            <w:tblPr>
              <w:tblStyle w:val="TableGrid"/>
              <w:tblpPr w:vertAnchor="text" w:tblpY="-1198"/>
              <w:tblOverlap w:val="never"/>
              <w:tblW w:w="8833" w:type="dxa"/>
              <w:tblInd w:w="0" w:type="dxa"/>
              <w:tblCellMar>
                <w:top w:w="0" w:type="dxa"/>
                <w:left w:w="0" w:type="dxa"/>
                <w:bottom w:w="0" w:type="dxa"/>
                <w:right w:w="0" w:type="dxa"/>
              </w:tblCellMar>
              <w:tblLook w:val="04A0" w:firstRow="1" w:lastRow="0" w:firstColumn="1" w:lastColumn="0" w:noHBand="0" w:noVBand="1"/>
            </w:tblPr>
            <w:tblGrid>
              <w:gridCol w:w="4514"/>
              <w:gridCol w:w="4319"/>
            </w:tblGrid>
            <w:tr w:rsidR="00283279">
              <w:trPr>
                <w:trHeight w:val="4004"/>
              </w:trPr>
              <w:tc>
                <w:tcPr>
                  <w:tcW w:w="4514" w:type="dxa"/>
                  <w:tcBorders>
                    <w:top w:val="nil"/>
                    <w:left w:val="nil"/>
                    <w:bottom w:val="nil"/>
                    <w:right w:val="nil"/>
                  </w:tcBorders>
                </w:tcPr>
                <w:p w:rsidR="00283279" w:rsidRDefault="003F719C">
                  <w:pPr>
                    <w:spacing w:after="0" w:line="259" w:lineRule="auto"/>
                    <w:ind w:left="0" w:right="0" w:firstLine="0"/>
                    <w:jc w:val="left"/>
                  </w:pPr>
                  <w:r>
                    <w:rPr>
                      <w:rFonts w:ascii="Calibri" w:eastAsia="Calibri" w:hAnsi="Calibri" w:cs="Calibri"/>
                      <w:b/>
                      <w:color w:val="A82B3D"/>
                      <w:sz w:val="22"/>
                    </w:rPr>
                    <w:t>Introduction</w:t>
                  </w:r>
                </w:p>
                <w:p w:rsidR="00283279" w:rsidRDefault="003F719C">
                  <w:pPr>
                    <w:spacing w:after="0" w:line="254" w:lineRule="auto"/>
                    <w:ind w:left="0" w:right="239" w:firstLine="0"/>
                  </w:pPr>
                  <w:r>
                    <w:t>A cluster of cases of pneumonia of unknown cause in Wuhan, China, was first reported on Dec 31, 2019,</w:t>
                  </w:r>
                  <w:r>
                    <w:rPr>
                      <w:sz w:val="14"/>
                      <w:vertAlign w:val="superscript"/>
                    </w:rPr>
                    <w:t>1</w:t>
                  </w:r>
                  <w:r>
                    <w:t xml:space="preserve"> and a week later identified as the disease now called COVID-19.</w:t>
                  </w:r>
                  <w:r>
                    <w:rPr>
                      <w:sz w:val="14"/>
                      <w:vertAlign w:val="superscript"/>
                    </w:rPr>
                    <w:t>2</w:t>
                  </w:r>
                  <w:r>
                    <w:t xml:space="preserve"> </w:t>
                  </w:r>
                  <w:r>
                    <w:t>COVID-19 has since spread rapidly around the world, nearing 10 million confirmed cases and more than 500 000 deaths reported in 188 countries and regions as of June 25, 2020.</w:t>
                  </w:r>
                  <w:r>
                    <w:rPr>
                      <w:sz w:val="14"/>
                      <w:vertAlign w:val="superscript"/>
                    </w:rPr>
                    <w:t>3</w:t>
                  </w:r>
                  <w:r>
                    <w:t xml:space="preserve"> The first case of COVID-19 in the USA was reported on Jan 20, 2020, in Snohomish</w:t>
                  </w:r>
                  <w:r>
                    <w:t xml:space="preserve"> County, WA, and as of June 25, COVID-19 has been reported in every US state and more than 3000 US counties.</w:t>
                  </w:r>
                  <w:r>
                    <w:rPr>
                      <w:sz w:val="14"/>
                      <w:vertAlign w:val="superscript"/>
                    </w:rPr>
                    <w:t>4,5</w:t>
                  </w:r>
                  <w:r>
                    <w:t xml:space="preserve"> Until the widespread availability of a vaccine,</w:t>
                  </w:r>
                  <w:r>
                    <w:rPr>
                      <w:color w:val="E53B2C"/>
                    </w:rPr>
                    <w:t xml:space="preserve"> </w:t>
                  </w:r>
                  <w:r>
                    <w:t>social distancing alongside personal protective measures, such as handwashing and wearing a mask</w:t>
                  </w:r>
                  <w:r>
                    <w:t>, will remain the primary control mechanisms for mitigating the spread of COVID-19.</w:t>
                  </w:r>
                </w:p>
                <w:p w:rsidR="00283279" w:rsidRDefault="003F719C">
                  <w:pPr>
                    <w:spacing w:after="0" w:line="259" w:lineRule="auto"/>
                    <w:ind w:left="0" w:right="0" w:firstLine="142"/>
                  </w:pPr>
                  <w:r>
                    <w:t xml:space="preserve">In China, a nationally coordinated effort limiting travel and social interaction effectively mitigated the </w:t>
                  </w:r>
                </w:p>
              </w:tc>
              <w:tc>
                <w:tcPr>
                  <w:tcW w:w="4319" w:type="dxa"/>
                  <w:tcBorders>
                    <w:top w:val="nil"/>
                    <w:left w:val="nil"/>
                    <w:bottom w:val="nil"/>
                    <w:right w:val="nil"/>
                  </w:tcBorders>
                </w:tcPr>
                <w:p w:rsidR="00283279" w:rsidRDefault="003F719C">
                  <w:pPr>
                    <w:spacing w:after="0" w:line="259" w:lineRule="auto"/>
                    <w:ind w:left="0" w:firstLine="0"/>
                  </w:pPr>
                  <w:r>
                    <w:t>spread of the disease.</w:t>
                  </w:r>
                  <w:r>
                    <w:rPr>
                      <w:sz w:val="14"/>
                      <w:vertAlign w:val="superscript"/>
                    </w:rPr>
                    <w:t>6,7</w:t>
                  </w:r>
                  <w:r>
                    <w:t xml:space="preserve"> Crucially, by contrast with the nationally mandated directives put in place in China, the US directives to shelter in place and temporarily close non-essential businesses and schools were made at the state and local level throughout March and April, 2020 </w:t>
                  </w:r>
                  <w:r>
                    <w:t>(appendix</w:t>
                  </w:r>
                  <w:r>
                    <w:rPr>
                      <w:color w:val="E53B2C"/>
                    </w:rPr>
                    <w:t xml:space="preserve"> </w:t>
                  </w:r>
                  <w:r>
                    <w:t>pp 2, 12–13). This distributed decision-making process and variable en forcement resulted in an outbreak mitigation response that was highly variable in both space and time. Adding to this complexity is the varying intensities of the outbreak aro</w:t>
                  </w:r>
                  <w:r>
                    <w:t>und the USA, with some counties nearing their peak and others remaining in the early stages of an epidemic.</w:t>
                  </w:r>
                  <w:r>
                    <w:rPr>
                      <w:sz w:val="14"/>
                      <w:vertAlign w:val="superscript"/>
                    </w:rPr>
                    <w:t>5</w:t>
                  </w:r>
                  <w:r>
                    <w:t xml:space="preserve"> Together, these issues pose a significant challenge to evaluating the effectiveness of social distancing policies  in the USA. To address this issu</w:t>
                  </w:r>
                  <w:r>
                    <w:t>e, we used real-time mobility data derived from cell (mobile) phone data</w:t>
                  </w:r>
                  <w:r>
                    <w:rPr>
                      <w:b/>
                      <w:color w:val="E53B2C"/>
                    </w:rPr>
                    <w:t xml:space="preserve"> </w:t>
                  </w:r>
                  <w:r>
                    <w:t xml:space="preserve">to quantify the progression of social distancing within the USA. Subsequently, we examined the relationship </w:t>
                  </w:r>
                </w:p>
              </w:tc>
            </w:tr>
          </w:tbl>
          <w:p w:rsidR="00283279" w:rsidRDefault="003F719C">
            <w:pPr>
              <w:spacing w:after="0" w:line="259" w:lineRule="auto"/>
              <w:ind w:left="8958" w:right="0" w:firstLine="0"/>
            </w:pPr>
            <w:r>
              <w:rPr>
                <w:rFonts w:ascii="Calibri" w:eastAsia="Calibri" w:hAnsi="Calibri" w:cs="Calibri"/>
                <w:sz w:val="13"/>
              </w:rPr>
              <w:t xml:space="preserve">See </w:t>
            </w:r>
            <w:r>
              <w:rPr>
                <w:rFonts w:ascii="Calibri" w:eastAsia="Calibri" w:hAnsi="Calibri" w:cs="Calibri"/>
                <w:b/>
                <w:color w:val="5B6769"/>
                <w:sz w:val="13"/>
              </w:rPr>
              <w:t>Online</w:t>
            </w:r>
            <w:r>
              <w:rPr>
                <w:rFonts w:ascii="Calibri" w:eastAsia="Calibri" w:hAnsi="Calibri" w:cs="Calibri"/>
                <w:sz w:val="13"/>
              </w:rPr>
              <w:t xml:space="preserve"> for appendix</w:t>
            </w:r>
          </w:p>
        </w:tc>
      </w:tr>
    </w:tbl>
    <w:p w:rsidR="00283279" w:rsidRDefault="003F719C">
      <w:pPr>
        <w:ind w:left="-5" w:right="0"/>
        <w:jc w:val="left"/>
      </w:pPr>
      <w:r>
        <w:rPr>
          <w:rFonts w:ascii="Calibri" w:eastAsia="Calibri" w:hAnsi="Calibri" w:cs="Calibri"/>
          <w:b/>
          <w:sz w:val="13"/>
        </w:rPr>
        <w:t>l.gardner@jhu.edu</w:t>
      </w:r>
    </w:p>
    <w:p w:rsidR="00283279" w:rsidRDefault="003F719C">
      <w:pPr>
        <w:spacing w:after="213"/>
        <w:ind w:right="30"/>
      </w:pPr>
      <w:r>
        <w:t>a trans</w:t>
      </w:r>
      <w:r>
        <w:lastRenderedPageBreak/>
        <w:t xml:space="preserve">mission model to project the effect of travel limitations on the spread of COVID-19 in China; they found travel restrictions to the affected areas had modest effects, and that transmission re  duction interventions were more effective at mitigating </w:t>
      </w:r>
      <w:r>
        <w:t>COVID-19 spread. These studies are encouraging, and suggest social distancing measures should successfully mitigate infection transmission outside of China; how ever, this has not yet been shown. Qualitative studies and projections exist for social distanc</w:t>
      </w:r>
      <w:r>
        <w:t>ing helping to reduce the spread of COVID-19 in countries such as Italy and the USA but, to date, a quantitative analysis has not yet been done outside of China.</w:t>
      </w:r>
      <w:r>
        <w:rPr>
          <w:sz w:val="14"/>
          <w:vertAlign w:val="superscript"/>
        </w:rPr>
        <w:t>11–13</w:t>
      </w:r>
      <w:r>
        <w:t xml:space="preserve"> We therefore evaluated the effect of social distancing on the spread of COVID-19 in the U</w:t>
      </w:r>
      <w:r>
        <w:t>SA—the country that has reported the most confirmed cases and deaths because of COVID-19 globally.</w:t>
      </w:r>
    </w:p>
    <w:p w:rsidR="00283279" w:rsidRDefault="003F719C">
      <w:pPr>
        <w:pStyle w:val="Heading1"/>
        <w:ind w:left="1654"/>
      </w:pPr>
      <w:r>
        <w:t>Methods</w:t>
      </w:r>
    </w:p>
    <w:p w:rsidR="00283279" w:rsidRDefault="003F719C">
      <w:pPr>
        <w:pStyle w:val="Heading2"/>
      </w:pPr>
      <w:r>
        <w:t>Data collection and analysis</w:t>
      </w:r>
    </w:p>
    <w:tbl>
      <w:tblPr>
        <w:tblStyle w:val="TableGrid"/>
        <w:tblpPr w:vertAnchor="text" w:horzAnchor="margin" w:tblpX="1644" w:tblpY="-4180"/>
        <w:tblOverlap w:val="never"/>
        <w:tblW w:w="8773" w:type="dxa"/>
        <w:tblInd w:w="0" w:type="dxa"/>
        <w:tblCellMar>
          <w:top w:w="116" w:type="dxa"/>
          <w:left w:w="0" w:type="dxa"/>
          <w:bottom w:w="0" w:type="dxa"/>
          <w:right w:w="115" w:type="dxa"/>
        </w:tblCellMar>
        <w:tblLook w:val="04A0" w:firstRow="1" w:lastRow="0" w:firstColumn="1" w:lastColumn="0" w:noHBand="0" w:noVBand="1"/>
      </w:tblPr>
      <w:tblGrid>
        <w:gridCol w:w="4507"/>
        <w:gridCol w:w="4266"/>
      </w:tblGrid>
      <w:tr w:rsidR="00283279">
        <w:trPr>
          <w:trHeight w:val="4649"/>
        </w:trPr>
        <w:tc>
          <w:tcPr>
            <w:tcW w:w="4507" w:type="dxa"/>
            <w:tcBorders>
              <w:top w:val="nil"/>
              <w:left w:val="nil"/>
              <w:bottom w:val="nil"/>
              <w:right w:val="nil"/>
            </w:tcBorders>
            <w:shd w:val="clear" w:color="auto" w:fill="F8E0DB"/>
            <w:vAlign w:val="center"/>
          </w:tcPr>
          <w:p w:rsidR="00283279" w:rsidRDefault="003F719C">
            <w:pPr>
              <w:spacing w:after="109" w:line="259" w:lineRule="auto"/>
              <w:ind w:left="150" w:right="0" w:firstLine="0"/>
              <w:jc w:val="left"/>
            </w:pPr>
            <w:r>
              <w:rPr>
                <w:rFonts w:ascii="Calibri" w:eastAsia="Calibri" w:hAnsi="Calibri" w:cs="Calibri"/>
                <w:b/>
                <w:color w:val="A82B3D"/>
                <w:sz w:val="17"/>
              </w:rPr>
              <w:t>Research in context</w:t>
            </w:r>
          </w:p>
          <w:p w:rsidR="00283279" w:rsidRDefault="003F719C">
            <w:pPr>
              <w:spacing w:after="0" w:line="259" w:lineRule="auto"/>
              <w:ind w:left="150" w:right="0" w:firstLine="0"/>
              <w:jc w:val="left"/>
            </w:pPr>
            <w:r>
              <w:rPr>
                <w:rFonts w:ascii="Calibri" w:eastAsia="Calibri" w:hAnsi="Calibri" w:cs="Calibri"/>
                <w:b/>
                <w:sz w:val="17"/>
              </w:rPr>
              <w:t>Evidence before this study</w:t>
            </w:r>
          </w:p>
          <w:p w:rsidR="00283279" w:rsidRDefault="003F719C">
            <w:pPr>
              <w:spacing w:after="113" w:line="254" w:lineRule="auto"/>
              <w:ind w:left="150" w:right="152" w:firstLine="0"/>
              <w:jc w:val="left"/>
            </w:pPr>
            <w:r>
              <w:rPr>
                <w:rFonts w:ascii="Calibri" w:eastAsia="Calibri" w:hAnsi="Calibri" w:cs="Calibri"/>
                <w:sz w:val="17"/>
              </w:rPr>
              <w:t>Our study considers the relationship between the emerging dynamics of COV</w:t>
            </w:r>
            <w:r>
              <w:rPr>
                <w:rFonts w:ascii="Calibri" w:eastAsia="Calibri" w:hAnsi="Calibri" w:cs="Calibri"/>
                <w:sz w:val="17"/>
              </w:rPr>
              <w:t xml:space="preserve">ID-19 transmission and mobility in the USA; therefore, we took into consideration the few publications that address this issue from a robust, data-driven perspective. We used Google Scholar, PubMed, and </w:t>
            </w:r>
            <w:r>
              <w:rPr>
                <w:rFonts w:ascii="Calibri" w:eastAsia="Calibri" w:hAnsi="Calibri" w:cs="Calibri"/>
                <w:i/>
                <w:sz w:val="17"/>
              </w:rPr>
              <w:t>medRxiv</w:t>
            </w:r>
            <w:r>
              <w:rPr>
                <w:rFonts w:ascii="Calibri" w:eastAsia="Calibri" w:hAnsi="Calibri" w:cs="Calibri"/>
                <w:sz w:val="17"/>
              </w:rPr>
              <w:t xml:space="preserve"> to search for articles relating mobility to c</w:t>
            </w:r>
            <w:r>
              <w:rPr>
                <w:rFonts w:ascii="Calibri" w:eastAsia="Calibri" w:hAnsi="Calibri" w:cs="Calibri"/>
                <w:sz w:val="17"/>
              </w:rPr>
              <w:t>oronavirus, using the terms “Covid-19,” “SARS-CoV-2,” “coronavirus,” “mobility”, “travel”, and “social distancing”. The studies identified from this search concluded that travel reduction had a positive effect on reducing the transmission of COVID-19. Howe</w:t>
            </w:r>
            <w:r>
              <w:rPr>
                <w:rFonts w:ascii="Calibri" w:eastAsia="Calibri" w:hAnsi="Calibri" w:cs="Calibri"/>
                <w:sz w:val="17"/>
              </w:rPr>
              <w:t>ver, the only studies that used data to reach this conclusion were done using information from China; thus, empirical evidence about the efficacy of social distancing is still needed to understand its effect on COVID-19 transmission in the USA.</w:t>
            </w:r>
          </w:p>
          <w:p w:rsidR="00283279" w:rsidRDefault="003F719C">
            <w:pPr>
              <w:spacing w:after="0" w:line="259" w:lineRule="auto"/>
              <w:ind w:left="150" w:right="0" w:firstLine="0"/>
              <w:jc w:val="left"/>
            </w:pPr>
            <w:r>
              <w:rPr>
                <w:rFonts w:ascii="Calibri" w:eastAsia="Calibri" w:hAnsi="Calibri" w:cs="Calibri"/>
                <w:b/>
                <w:sz w:val="17"/>
              </w:rPr>
              <w:t>Added value of this study</w:t>
            </w:r>
          </w:p>
          <w:p w:rsidR="00283279" w:rsidRDefault="003F719C">
            <w:pPr>
              <w:spacing w:after="0" w:line="259" w:lineRule="auto"/>
              <w:ind w:left="150" w:right="0" w:firstLine="0"/>
              <w:jc w:val="left"/>
            </w:pPr>
            <w:r>
              <w:rPr>
                <w:rFonts w:ascii="Calibri" w:eastAsia="Calibri" w:hAnsi="Calibri" w:cs="Calibri"/>
                <w:sz w:val="17"/>
              </w:rPr>
              <w:t xml:space="preserve">Our results are consistent with COVID-19 transmission research to date—namely, that decreased mobility has a significant, </w:t>
            </w:r>
          </w:p>
        </w:tc>
        <w:tc>
          <w:tcPr>
            <w:tcW w:w="4267" w:type="dxa"/>
            <w:tcBorders>
              <w:top w:val="nil"/>
              <w:left w:val="nil"/>
              <w:bottom w:val="nil"/>
              <w:right w:val="nil"/>
            </w:tcBorders>
            <w:shd w:val="clear" w:color="auto" w:fill="F8E0DB"/>
          </w:tcPr>
          <w:p w:rsidR="00283279" w:rsidRDefault="003F719C">
            <w:pPr>
              <w:spacing w:after="113" w:line="254" w:lineRule="auto"/>
              <w:ind w:left="0" w:right="94" w:firstLine="0"/>
              <w:jc w:val="left"/>
            </w:pPr>
            <w:r>
              <w:rPr>
                <w:rFonts w:ascii="Calibri" w:eastAsia="Calibri" w:hAnsi="Calibri" w:cs="Calibri"/>
                <w:sz w:val="17"/>
              </w:rPr>
              <w:t>positive relationship with reduced case growth. Although social distancing has consistently been shown to h</w:t>
            </w:r>
            <w:r>
              <w:rPr>
                <w:rFonts w:ascii="Calibri" w:eastAsia="Calibri" w:hAnsi="Calibri" w:cs="Calibri"/>
                <w:sz w:val="17"/>
              </w:rPr>
              <w:t>ave positive effects on COVID-19 transmission in China, our work extends these results to the USA. Our study does not rely on assumed infection rates, assumed compliance aligned with timing of policies, or modelled or synthetic data, but rather uses real-w</w:t>
            </w:r>
            <w:r>
              <w:rPr>
                <w:rFonts w:ascii="Calibri" w:eastAsia="Calibri" w:hAnsi="Calibri" w:cs="Calibri"/>
                <w:sz w:val="17"/>
              </w:rPr>
              <w:t>orld mobility data and reported case counts to empirically estimate the relationship between the two variables in the USA.</w:t>
            </w:r>
          </w:p>
          <w:p w:rsidR="00283279" w:rsidRDefault="003F719C">
            <w:pPr>
              <w:spacing w:after="0" w:line="259" w:lineRule="auto"/>
              <w:ind w:left="0" w:right="0" w:firstLine="0"/>
              <w:jc w:val="left"/>
            </w:pPr>
            <w:r>
              <w:rPr>
                <w:rFonts w:ascii="Calibri" w:eastAsia="Calibri" w:hAnsi="Calibri" w:cs="Calibri"/>
                <w:b/>
                <w:sz w:val="17"/>
              </w:rPr>
              <w:t>Implications of all the available evidence</w:t>
            </w:r>
          </w:p>
          <w:p w:rsidR="00283279" w:rsidRDefault="003F719C">
            <w:pPr>
              <w:spacing w:after="0" w:line="259" w:lineRule="auto"/>
              <w:ind w:left="0" w:right="6" w:firstLine="0"/>
              <w:jc w:val="left"/>
            </w:pPr>
            <w:r>
              <w:rPr>
                <w:rFonts w:ascii="Calibri" w:eastAsia="Calibri" w:hAnsi="Calibri" w:cs="Calibri"/>
                <w:sz w:val="17"/>
              </w:rPr>
              <w:t>Our work shows that social distancing helps to reduce the spread of COVID-19, and should remain part of personal and institutional responses to the pandemic until a vaccine is widely available.</w:t>
            </w:r>
          </w:p>
        </w:tc>
      </w:tr>
    </w:tbl>
    <w:tbl>
      <w:tblPr>
        <w:tblStyle w:val="TableGrid"/>
        <w:tblpPr w:vertAnchor="text" w:horzAnchor="margin" w:tblpX="128" w:tblpY="-4180"/>
        <w:tblOverlap w:val="never"/>
        <w:tblW w:w="10349" w:type="dxa"/>
        <w:tblInd w:w="0" w:type="dxa"/>
        <w:tblCellMar>
          <w:top w:w="0" w:type="dxa"/>
          <w:left w:w="0" w:type="dxa"/>
          <w:bottom w:w="0" w:type="dxa"/>
          <w:right w:w="0" w:type="dxa"/>
        </w:tblCellMar>
        <w:tblLook w:val="04A0" w:firstRow="1" w:lastRow="0" w:firstColumn="1" w:lastColumn="0" w:noHBand="0" w:noVBand="1"/>
      </w:tblPr>
      <w:tblGrid>
        <w:gridCol w:w="1516"/>
        <w:gridCol w:w="4507"/>
        <w:gridCol w:w="4326"/>
      </w:tblGrid>
      <w:tr w:rsidR="00283279">
        <w:trPr>
          <w:trHeight w:val="2855"/>
        </w:trPr>
        <w:tc>
          <w:tcPr>
            <w:tcW w:w="1516" w:type="dxa"/>
            <w:tcBorders>
              <w:top w:val="nil"/>
              <w:left w:val="nil"/>
              <w:bottom w:val="nil"/>
              <w:right w:val="nil"/>
            </w:tcBorders>
            <w:vAlign w:val="bottom"/>
          </w:tcPr>
          <w:p w:rsidR="00283279" w:rsidRDefault="003F719C">
            <w:pPr>
              <w:spacing w:after="0" w:line="259" w:lineRule="auto"/>
              <w:ind w:left="0" w:right="0" w:firstLine="483"/>
              <w:jc w:val="left"/>
            </w:pPr>
            <w:r>
              <w:rPr>
                <w:rFonts w:ascii="Calibri" w:eastAsia="Calibri" w:hAnsi="Calibri" w:cs="Calibri"/>
                <w:sz w:val="13"/>
              </w:rPr>
              <w:t>For</w:t>
            </w:r>
            <w:r>
              <w:rPr>
                <w:rFonts w:ascii="Calibri" w:eastAsia="Calibri" w:hAnsi="Calibri" w:cs="Calibri"/>
                <w:b/>
                <w:sz w:val="13"/>
              </w:rPr>
              <w:t xml:space="preserve"> Teralytics</w:t>
            </w:r>
            <w:r>
              <w:rPr>
                <w:rFonts w:ascii="Calibri" w:eastAsia="Calibri" w:hAnsi="Calibri" w:cs="Calibri"/>
                <w:sz w:val="13"/>
              </w:rPr>
              <w:t xml:space="preserve"> see </w:t>
            </w:r>
            <w:hyperlink r:id="rId13">
              <w:r>
                <w:rPr>
                  <w:rFonts w:ascii="Calibri" w:eastAsia="Calibri" w:hAnsi="Calibri" w:cs="Calibri"/>
                  <w:sz w:val="13"/>
                </w:rPr>
                <w:t>https://www.teralytics.net/</w:t>
              </w:r>
            </w:hyperlink>
          </w:p>
        </w:tc>
        <w:tc>
          <w:tcPr>
            <w:tcW w:w="4507" w:type="dxa"/>
            <w:tcBorders>
              <w:top w:val="nil"/>
              <w:left w:val="nil"/>
              <w:bottom w:val="nil"/>
              <w:right w:val="nil"/>
            </w:tcBorders>
          </w:tcPr>
          <w:p w:rsidR="00283279" w:rsidRDefault="003F719C">
            <w:pPr>
              <w:spacing w:after="0" w:line="253" w:lineRule="auto"/>
              <w:ind w:left="0" w:right="226" w:firstLine="0"/>
            </w:pPr>
            <w:r>
              <w:t>of the data to the rate of emerging COVID-19 cases in 25 US counties, with the highest number of reported cases as of April 16, 2020 (table; appendix p 3).</w:t>
            </w:r>
          </w:p>
          <w:p w:rsidR="00283279" w:rsidRDefault="003F719C">
            <w:pPr>
              <w:spacing w:after="0" w:line="259" w:lineRule="auto"/>
              <w:ind w:left="0" w:right="226" w:firstLine="142"/>
            </w:pPr>
            <w:r>
              <w:t>Previous studies have evaluated the connection between travel and transmission of COVID-19, but these studies were restricted to examining the disease in China. In addition to the aforementioned work by Kraemer and colleagues,</w:t>
            </w:r>
            <w:r>
              <w:rPr>
                <w:sz w:val="14"/>
                <w:vertAlign w:val="superscript"/>
              </w:rPr>
              <w:t>7</w:t>
            </w:r>
            <w:r>
              <w:t xml:space="preserve"> Zhao and colleagues</w:t>
            </w:r>
            <w:r>
              <w:rPr>
                <w:sz w:val="14"/>
                <w:vertAlign w:val="superscript"/>
              </w:rPr>
              <w:t>8</w:t>
            </w:r>
            <w:r>
              <w:t xml:space="preserve"> found a</w:t>
            </w:r>
            <w:r>
              <w:t xml:space="preserve"> positive association between confirmed cases and the quantity of domestic passenger travel within ten cities outside of Hubei province. Tian and colleagues</w:t>
            </w:r>
            <w:r>
              <w:rPr>
                <w:sz w:val="14"/>
                <w:vertAlign w:val="superscript"/>
              </w:rPr>
              <w:t>9</w:t>
            </w:r>
            <w:r>
              <w:t xml:space="preserve"> found evidence that social distancing measures in cities throughout China delayed case transmissio</w:t>
            </w:r>
            <w:r>
              <w:t>n. Chinazzi and colleagues</w:t>
            </w:r>
            <w:r>
              <w:rPr>
                <w:sz w:val="14"/>
                <w:vertAlign w:val="superscript"/>
              </w:rPr>
              <w:t>10</w:t>
            </w:r>
            <w:r>
              <w:t xml:space="preserve"> used </w:t>
            </w:r>
          </w:p>
        </w:tc>
        <w:tc>
          <w:tcPr>
            <w:tcW w:w="4326" w:type="dxa"/>
            <w:tcBorders>
              <w:top w:val="nil"/>
              <w:left w:val="nil"/>
              <w:bottom w:val="nil"/>
              <w:right w:val="nil"/>
            </w:tcBorders>
          </w:tcPr>
          <w:p w:rsidR="00283279" w:rsidRDefault="003F719C">
            <w:pPr>
              <w:spacing w:after="0" w:line="259" w:lineRule="auto"/>
              <w:ind w:left="0" w:firstLine="0"/>
            </w:pPr>
            <w:r>
              <w:t>and county (j), which quantified the change in mobility patterns as a proxy for social distancing. MR reflects the change in the number of individual trips made in each county per day, relative to ordinary behavioural pat</w:t>
            </w:r>
            <w:r>
              <w:t xml:space="preserve">terns (ie, before COVID-19). To compute this measure, we used daily origin–destination trip matrices at the US county level derived from aggregated and anonymised cell phone data obtained from </w:t>
            </w:r>
            <w:hyperlink r:id="rId14">
              <w:r>
                <w:t xml:space="preserve">Teralytics </w:t>
              </w:r>
            </w:hyperlink>
            <w:r>
              <w:t>(Züri</w:t>
            </w:r>
            <w:r>
              <w:t>ch, Switzerland). This effort aligns with work</w:t>
            </w:r>
            <w:r>
              <w:rPr>
                <w:sz w:val="14"/>
                <w:vertAlign w:val="superscript"/>
              </w:rPr>
              <w:t>14</w:t>
            </w:r>
            <w:r>
              <w:t xml:space="preserve"> supporting the use of aggregated mobility data to monitor the effectiveness of social distancing interventions. The data consisted of the number of unique daily trips made between origin–destination pairs of</w:t>
            </w:r>
            <w:r>
              <w:t xml:space="preserve"> US counties, each </w:t>
            </w:r>
          </w:p>
        </w:tc>
      </w:tr>
    </w:tbl>
    <w:p w:rsidR="00283279" w:rsidRDefault="003F719C">
      <w:pPr>
        <w:ind w:right="30"/>
      </w:pPr>
      <w:r>
        <w:t xml:space="preserve">To quantify the amount of social distancing in each US county, we defined a mobility ratio (MR) for each day (t) day, from Jan 1 to April 20, 2020. MR is the sum of the total trips incoming, outgoing, and within each county on a given </w:t>
      </w:r>
      <w:r>
        <w:t>day, divided by the same measure on a baseline day. The baseline value is specific to each day of the week and taken as the average from Jan 8 to Jan 31, 2020, when travel patterns were stable (appendix p 4). We interpreted this metric as a proxy for socia</w:t>
      </w:r>
      <w:r>
        <w:t xml:space="preserve">l distancing on the basis of the assumption that when individuals make fewer trips, they physically interact less. </w:t>
      </w:r>
      <w:r>
        <w:rPr>
          <w:i/>
        </w:rPr>
        <w:t>MR</w:t>
      </w:r>
      <w:r>
        <w:rPr>
          <w:i/>
          <w:sz w:val="14"/>
          <w:vertAlign w:val="subscript"/>
        </w:rPr>
        <w:t>j</w:t>
      </w:r>
      <w:r>
        <w:rPr>
          <w:i/>
          <w:sz w:val="14"/>
          <w:vertAlign w:val="superscript"/>
        </w:rPr>
        <w:t>t</w:t>
      </w:r>
      <w:r>
        <w:t xml:space="preserve"> was calculated as follows: </w:t>
      </w:r>
      <w:r>
        <w:rPr>
          <w:i/>
        </w:rPr>
        <w:t>MR</w:t>
      </w:r>
      <w:r>
        <w:rPr>
          <w:i/>
          <w:sz w:val="10"/>
        </w:rPr>
        <w:t>j</w:t>
      </w:r>
      <w:r>
        <w:t xml:space="preserve"> = </w:t>
      </w:r>
      <w:r>
        <w:rPr>
          <w:sz w:val="10"/>
        </w:rPr>
        <w:t>–</w:t>
      </w:r>
      <w:r>
        <w:t>∑</w:t>
      </w:r>
      <w:r>
        <w:rPr>
          <w:i/>
          <w:sz w:val="10"/>
        </w:rPr>
        <w:t>ii</w:t>
      </w:r>
      <w:r>
        <w:rPr>
          <w:sz w:val="10"/>
        </w:rPr>
        <w:t xml:space="preserve"> ≠  ≠ </w:t>
      </w:r>
      <w:r>
        <w:rPr>
          <w:i/>
          <w:sz w:val="10"/>
        </w:rPr>
        <w:t>jj</w:t>
      </w:r>
      <w:r>
        <w:rPr>
          <w:i/>
        </w:rPr>
        <w:t>V</w:t>
      </w:r>
      <w:r>
        <w:rPr>
          <w:i/>
          <w:sz w:val="10"/>
        </w:rPr>
        <w:t>tijt</w:t>
      </w:r>
      <w:r>
        <w:rPr>
          <w:sz w:val="10"/>
        </w:rPr>
        <w:t>0</w:t>
      </w:r>
      <w:r>
        <w:t xml:space="preserve">  + ∑ + ∑</w:t>
      </w:r>
      <w:r>
        <w:rPr>
          <w:i/>
          <w:sz w:val="10"/>
        </w:rPr>
        <w:t>ii</w:t>
      </w:r>
      <w:r>
        <w:rPr>
          <w:sz w:val="10"/>
        </w:rPr>
        <w:t xml:space="preserve"> ≠  ≠ </w:t>
      </w:r>
      <w:r>
        <w:rPr>
          <w:i/>
          <w:sz w:val="10"/>
        </w:rPr>
        <w:t>jj</w:t>
      </w:r>
      <w:r>
        <w:rPr>
          <w:i/>
        </w:rPr>
        <w:t>VV</w:t>
      </w:r>
      <w:r>
        <w:rPr>
          <w:i/>
          <w:sz w:val="10"/>
        </w:rPr>
        <w:t>jijitt</w:t>
      </w:r>
      <w:r>
        <w:rPr>
          <w:sz w:val="10"/>
        </w:rPr>
        <w:t>0</w:t>
      </w:r>
      <w:r>
        <w:t xml:space="preserve"> +   + </w:t>
      </w:r>
      <w:r>
        <w:rPr>
          <w:sz w:val="10"/>
        </w:rPr>
        <w:t xml:space="preserve"> </w:t>
      </w:r>
      <w:r>
        <w:rPr>
          <w:i/>
        </w:rPr>
        <w:t>VV</w:t>
      </w:r>
      <w:r>
        <w:rPr>
          <w:i/>
          <w:sz w:val="10"/>
        </w:rPr>
        <w:t>jjtjj</w:t>
      </w:r>
      <w:r>
        <w:t xml:space="preserve"> </w:t>
      </w:r>
      <w:r>
        <w:rPr>
          <w:i/>
          <w:sz w:val="10"/>
        </w:rPr>
        <w:t>t</w:t>
      </w:r>
      <w:r>
        <w:rPr>
          <w:sz w:val="10"/>
        </w:rPr>
        <w:t>0</w:t>
      </w:r>
      <w:r>
        <w:t xml:space="preserve"> </w:t>
      </w:r>
    </w:p>
    <w:p w:rsidR="00283279" w:rsidRDefault="003F719C">
      <w:pPr>
        <w:spacing w:after="139" w:line="216" w:lineRule="auto"/>
        <w:ind w:left="273" w:right="3750" w:firstLine="268"/>
        <w:jc w:val="left"/>
      </w:pPr>
      <w:r>
        <w:t xml:space="preserve">∑ </w:t>
      </w:r>
      <w:r>
        <w:rPr>
          <w:i/>
          <w:sz w:val="10"/>
        </w:rPr>
        <w:t>t</w:t>
      </w:r>
    </w:p>
    <w:p w:rsidR="00283279" w:rsidRDefault="003F719C">
      <w:pPr>
        <w:spacing w:after="455" w:line="216" w:lineRule="auto"/>
        <w:ind w:left="775" w:right="0"/>
        <w:jc w:val="left"/>
      </w:pPr>
      <w:r>
        <w:rPr>
          <w:i/>
        </w:rPr>
        <w:t>V</w:t>
      </w:r>
      <w:r>
        <w:rPr>
          <w:i/>
          <w:sz w:val="10"/>
        </w:rPr>
        <w:t>ij</w:t>
      </w:r>
    </w:p>
    <w:p w:rsidR="00283279" w:rsidRDefault="003F719C">
      <w:pPr>
        <w:ind w:left="-5" w:right="147"/>
      </w:pPr>
      <w:r>
        <w:t>where</w:t>
      </w:r>
      <w:r>
        <w:rPr>
          <w:i/>
        </w:rPr>
        <w:t xml:space="preserve"> V</w:t>
      </w:r>
      <w:r>
        <w:rPr>
          <w:i/>
          <w:sz w:val="14"/>
          <w:vertAlign w:val="subscript"/>
        </w:rPr>
        <w:t>i</w:t>
      </w:r>
      <w:r>
        <w:rPr>
          <w:i/>
          <w:sz w:val="14"/>
          <w:vertAlign w:val="superscript"/>
        </w:rPr>
        <w:t>t</w:t>
      </w:r>
      <w:r>
        <w:rPr>
          <w:i/>
          <w:sz w:val="14"/>
          <w:vertAlign w:val="subscript"/>
        </w:rPr>
        <w:t>j</w:t>
      </w:r>
      <w:r>
        <w:rPr>
          <w:i/>
        </w:rPr>
        <w:t xml:space="preserve"> </w:t>
      </w:r>
      <w:r>
        <w:t xml:space="preserve">represents the number of trips from county </w:t>
      </w:r>
      <w:r>
        <w:rPr>
          <w:i/>
        </w:rPr>
        <w:t xml:space="preserve">i </w:t>
      </w:r>
      <w:r>
        <w:t xml:space="preserve">to </w:t>
      </w:r>
      <w:r>
        <w:rPr>
          <w:i/>
        </w:rPr>
        <w:t>j</w:t>
      </w:r>
      <w:r>
        <w:t xml:space="preserve"> on day </w:t>
      </w:r>
      <w:r>
        <w:rPr>
          <w:i/>
        </w:rPr>
        <w:t>t</w:t>
      </w:r>
      <w:r>
        <w:t xml:space="preserve">, and </w:t>
      </w:r>
      <w:r>
        <w:rPr>
          <w:i/>
        </w:rPr>
        <w:t>t</w:t>
      </w:r>
      <w:r>
        <w:rPr>
          <w:sz w:val="14"/>
          <w:vertAlign w:val="subscript"/>
        </w:rPr>
        <w:t>0</w:t>
      </w:r>
      <w:r>
        <w:t xml:space="preserve"> represents the baseline measure. The trips were all-directional; therefore, the number of trips from</w:t>
      </w:r>
      <w:r>
        <w:rPr>
          <w:i/>
        </w:rPr>
        <w:t xml:space="preserve"> i</w:t>
      </w:r>
      <w:r>
        <w:t xml:space="preserve"> to </w:t>
      </w:r>
      <w:r>
        <w:rPr>
          <w:i/>
        </w:rPr>
        <w:t xml:space="preserve">j </w:t>
      </w:r>
      <w:r>
        <w:t xml:space="preserve">did not equal the number of trips from </w:t>
      </w:r>
      <w:r>
        <w:rPr>
          <w:i/>
        </w:rPr>
        <w:t>j</w:t>
      </w:r>
      <w:r>
        <w:t xml:space="preserve"> to </w:t>
      </w:r>
      <w:r>
        <w:rPr>
          <w:i/>
        </w:rPr>
        <w:t>i</w:t>
      </w:r>
      <w:r>
        <w:t>. This metric accounts for movements</w:t>
      </w:r>
      <w:r>
        <w:t xml:space="preserve"> both between and within counties; thus, it includes changes in typical commuting patterns and microlevel (within county) movements (eg, travel to local grocery stores, shopping centres, gyms, and schools).</w:t>
      </w:r>
    </w:p>
    <w:p w:rsidR="00283279" w:rsidRDefault="003F719C">
      <w:pPr>
        <w:ind w:left="-15" w:right="30" w:firstLine="142"/>
      </w:pPr>
      <w:r>
        <w:t>Using this function, an MR of 0 indicates no trips were made, and a value of 0·5 indicates half the number of trips relative to baseline were made on a given day. An MR of 1 signifies no change in behaviour relative to the baseline period (Jan 8–31, 2020),</w:t>
      </w:r>
      <w:r>
        <w:t xml:space="preserve"> before COVID-19 transmission was widely reported in the USA. Any value above 1 means that mobility had increased from baseline.</w:t>
      </w:r>
    </w:p>
    <w:p w:rsidR="00283279" w:rsidRDefault="003F719C">
      <w:pPr>
        <w:spacing w:after="136"/>
        <w:ind w:left="-15" w:right="30" w:firstLine="142"/>
      </w:pPr>
      <w:r>
        <w:t>Epidemiological data from the Johns Hopkins University Center for Systems Science and Engineering COVID-19 dashboard, which inc</w:t>
      </w:r>
      <w:r>
        <w:t>ludes daily data on cases and deaths for each US county, were used to compute the COVID-19 growth rate ratio (GR) for a given county on a given day.</w:t>
      </w:r>
      <w:r>
        <w:rPr>
          <w:sz w:val="14"/>
          <w:vertAlign w:val="superscript"/>
        </w:rPr>
        <w:t>5</w:t>
      </w:r>
      <w:r>
        <w:t xml:space="preserve"> The ratio was defined as the logarithmic rate of change (number of newly reported cases) over the previous</w:t>
      </w:r>
      <w:r>
        <w:t xml:space="preserve"> 3 days relative to the logarithmic rate of change over the previous week. GR for any county </w:t>
      </w:r>
      <w:r>
        <w:rPr>
          <w:i/>
        </w:rPr>
        <w:t>j</w:t>
      </w:r>
      <w:r>
        <w:t xml:space="preserve"> on a day </w:t>
      </w:r>
      <w:r>
        <w:rPr>
          <w:i/>
        </w:rPr>
        <w:t xml:space="preserve">t </w:t>
      </w:r>
      <w:r>
        <w:t>was calculated as follows:</w:t>
      </w:r>
    </w:p>
    <w:p w:rsidR="00283279" w:rsidRDefault="003F719C">
      <w:pPr>
        <w:spacing w:after="5" w:line="259" w:lineRule="auto"/>
        <w:ind w:left="526" w:right="2950" w:firstLine="0"/>
        <w:jc w:val="left"/>
      </w:pPr>
      <w:r>
        <w:rPr>
          <w:i/>
        </w:rPr>
        <w:t xml:space="preserve">log  </w:t>
      </w:r>
      <w:r>
        <w:rPr>
          <w:noProof/>
        </w:rPr>
        <w:drawing>
          <wp:inline distT="0" distB="0" distL="0" distR="0">
            <wp:extent cx="347472" cy="262128"/>
            <wp:effectExtent l="0" t="0" r="0" b="0"/>
            <wp:docPr id="973961" name="Picture 973961"/>
            <wp:cNvGraphicFramePr/>
            <a:graphic xmlns:a="http://schemas.openxmlformats.org/drawingml/2006/main">
              <a:graphicData uri="http://schemas.openxmlformats.org/drawingml/2006/picture">
                <pic:pic xmlns:pic="http://schemas.openxmlformats.org/drawingml/2006/picture">
                  <pic:nvPicPr>
                    <pic:cNvPr id="973961" name="Picture 973961"/>
                    <pic:cNvPicPr/>
                  </pic:nvPicPr>
                  <pic:blipFill>
                    <a:blip r:embed="rId15"/>
                    <a:stretch>
                      <a:fillRect/>
                    </a:stretch>
                  </pic:blipFill>
                  <pic:spPr>
                    <a:xfrm>
                      <a:off x="0" y="0"/>
                      <a:ext cx="347472" cy="262128"/>
                    </a:xfrm>
                    <a:prstGeom prst="rect">
                      <a:avLst/>
                    </a:prstGeom>
                  </pic:spPr>
                </pic:pic>
              </a:graphicData>
            </a:graphic>
          </wp:inline>
        </w:drawing>
      </w:r>
    </w:p>
    <w:p w:rsidR="00283279" w:rsidRDefault="003F719C">
      <w:pPr>
        <w:spacing w:after="125" w:line="605" w:lineRule="auto"/>
        <w:ind w:left="521" w:right="2667" w:hanging="533"/>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column">
                  <wp:posOffset>827454</wp:posOffset>
                </wp:positionH>
                <wp:positionV relativeFrom="paragraph">
                  <wp:posOffset>-204273</wp:posOffset>
                </wp:positionV>
                <wp:extent cx="46312" cy="580836"/>
                <wp:effectExtent l="0" t="0" r="0" b="0"/>
                <wp:wrapSquare wrapText="bothSides"/>
                <wp:docPr id="550739" name="Group 550739"/>
                <wp:cNvGraphicFramePr/>
                <a:graphic xmlns:a="http://schemas.openxmlformats.org/drawingml/2006/main">
                  <a:graphicData uri="http://schemas.microsoft.com/office/word/2010/wordprocessingGroup">
                    <wpg:wgp>
                      <wpg:cNvGrpSpPr/>
                      <wpg:grpSpPr>
                        <a:xfrm>
                          <a:off x="0" y="0"/>
                          <a:ext cx="46312" cy="580836"/>
                          <a:chOff x="0" y="0"/>
                          <a:chExt cx="46312" cy="580836"/>
                        </a:xfrm>
                      </wpg:grpSpPr>
                      <wps:wsp>
                        <wps:cNvPr id="511" name="Rectangle 511"/>
                        <wps:cNvSpPr/>
                        <wps:spPr>
                          <a:xfrm rot="-10799999">
                            <a:off x="-15265" y="-99997"/>
                            <a:ext cx="61578" cy="403020"/>
                          </a:xfrm>
                          <a:prstGeom prst="rect">
                            <a:avLst/>
                          </a:prstGeom>
                          <a:ln>
                            <a:noFill/>
                          </a:ln>
                        </wps:spPr>
                        <wps:txbx>
                          <w:txbxContent>
                            <w:p w:rsidR="00283279" w:rsidRDefault="003F719C">
                              <w:pPr>
                                <w:spacing w:after="160" w:line="259" w:lineRule="auto"/>
                                <w:ind w:left="0" w:right="0" w:firstLine="0"/>
                                <w:jc w:val="left"/>
                              </w:pPr>
                              <w:r>
                                <w:rPr>
                                  <w:sz w:val="40"/>
                                </w:rPr>
                                <w:t>(</w:t>
                              </w:r>
                            </w:p>
                          </w:txbxContent>
                        </wps:txbx>
                        <wps:bodyPr horzOverflow="overflow" vert="horz" lIns="0" tIns="0" rIns="0" bIns="0" rtlCol="0">
                          <a:noAutofit/>
                        </wps:bodyPr>
                      </wps:wsp>
                      <wps:wsp>
                        <wps:cNvPr id="523" name="Rectangle 523"/>
                        <wps:cNvSpPr/>
                        <wps:spPr>
                          <a:xfrm rot="-10799999">
                            <a:off x="-15278" y="177816"/>
                            <a:ext cx="61577" cy="403020"/>
                          </a:xfrm>
                          <a:prstGeom prst="rect">
                            <a:avLst/>
                          </a:prstGeom>
                          <a:ln>
                            <a:noFill/>
                          </a:ln>
                        </wps:spPr>
                        <wps:txbx>
                          <w:txbxContent>
                            <w:p w:rsidR="00283279" w:rsidRDefault="003F719C">
                              <w:pPr>
                                <w:spacing w:after="160" w:line="259" w:lineRule="auto"/>
                                <w:ind w:left="0" w:right="0" w:firstLine="0"/>
                                <w:jc w:val="left"/>
                              </w:pPr>
                              <w:r>
                                <w:rPr>
                                  <w:sz w:val="40"/>
                                </w:rPr>
                                <w:t>(</w:t>
                              </w:r>
                            </w:p>
                          </w:txbxContent>
                        </wps:txbx>
                        <wps:bodyPr horzOverflow="overflow" vert="horz" lIns="0" tIns="0" rIns="0" bIns="0" rtlCol="0">
                          <a:noAutofit/>
                        </wps:bodyPr>
                      </wps:wsp>
                    </wpg:wgp>
                  </a:graphicData>
                </a:graphic>
              </wp:anchor>
            </w:drawing>
          </mc:Choice>
          <mc:Fallback>
            <w:pict>
              <v:group id="Group 550739" o:spid="_x0000_s1026" style="position:absolute;left:0;text-align:left;margin-left:65.15pt;margin-top:-16.1pt;width:3.65pt;height:45.75pt;z-index:251658240" coordsize="463,5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">
                <v:rect id="Rectangle 511" o:spid="_x0000_s1027" style="position:absolute;left:-152;top:-999;width:615;height:4029;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" filled="f" stroked="f">
                  <v:textbox inset="0,0,0,0">
                    <w:txbxContent>
                      <w:p w:rsidR="00283279" w:rsidRDefault="003F719C">
                        <w:pPr>
                          <w:spacing w:after="160" w:line="259" w:lineRule="auto"/>
                          <w:ind w:left="0" w:right="0" w:firstLine="0"/>
                          <w:jc w:val="left"/>
                        </w:pPr>
                        <w:r>
                          <w:rPr>
                            <w:sz w:val="40"/>
                          </w:rPr>
                          <w:t>(</w:t>
                        </w:r>
                      </w:p>
                    </w:txbxContent>
                  </v:textbox>
                </v:rect>
                <v:rect id="Rectangle 523" o:spid="_x0000_s1028" style="position:absolute;left:-152;top:1778;width:614;height:4030;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" filled="f" stroked="f">
                  <v:textbox inset="0,0,0,0">
                    <w:txbxContent>
                      <w:p w:rsidR="00283279" w:rsidRDefault="003F719C">
                        <w:pPr>
                          <w:spacing w:after="160" w:line="259" w:lineRule="auto"/>
                          <w:ind w:left="0" w:right="0" w:firstLine="0"/>
                          <w:jc w:val="left"/>
                        </w:pPr>
                        <w:r>
                          <w:rPr>
                            <w:sz w:val="40"/>
                          </w:rPr>
                          <w:t>(</w:t>
                        </w:r>
                      </w:p>
                    </w:txbxContent>
                  </v:textbox>
                </v:rect>
                <w10:wrap type="square"/>
              </v:group>
            </w:pict>
          </mc:Fallback>
        </mc:AlternateContent>
      </w:r>
      <w:r>
        <w:rPr>
          <w:i/>
        </w:rPr>
        <w:t>GR</w:t>
      </w:r>
      <w:r>
        <w:rPr>
          <w:i/>
          <w:sz w:val="10"/>
        </w:rPr>
        <w:t>j</w:t>
      </w:r>
      <w:r>
        <w:rPr>
          <w:i/>
          <w:sz w:val="16"/>
          <w:vertAlign w:val="superscript"/>
        </w:rPr>
        <w:t>t</w:t>
      </w:r>
      <w:r>
        <w:t xml:space="preserve"> = </w:t>
      </w:r>
      <w:r>
        <w:rPr>
          <w:sz w:val="10"/>
        </w:rPr>
        <w:t>–</w:t>
      </w:r>
      <w:r>
        <w:rPr>
          <w:sz w:val="40"/>
        </w:rPr>
        <w:t xml:space="preserve">( </w:t>
      </w:r>
      <w:r>
        <w:rPr>
          <w:i/>
          <w:sz w:val="28"/>
          <w:vertAlign w:val="superscript"/>
        </w:rPr>
        <w:t>C</w:t>
      </w:r>
      <w:r>
        <w:rPr>
          <w:i/>
          <w:sz w:val="16"/>
          <w:vertAlign w:val="subscript"/>
        </w:rPr>
        <w:t>j</w:t>
      </w:r>
      <w:r>
        <w:rPr>
          <w:i/>
          <w:sz w:val="10"/>
        </w:rPr>
        <w:t xml:space="preserve">t </w:t>
      </w:r>
      <w:r>
        <w:rPr>
          <w:i/>
        </w:rPr>
        <w:t xml:space="preserve">log  </w:t>
      </w:r>
      <w:r>
        <w:t>∑</w:t>
      </w:r>
      <w:r>
        <w:rPr>
          <w:i/>
          <w:sz w:val="10"/>
        </w:rPr>
        <w:t>t</w:t>
      </w:r>
      <w:r>
        <w:rPr>
          <w:i/>
          <w:sz w:val="16"/>
          <w:vertAlign w:val="subscript"/>
        </w:rPr>
        <w:t>t</w:t>
      </w:r>
      <w:r>
        <w:rPr>
          <w:sz w:val="10"/>
        </w:rPr>
        <w:t xml:space="preserve"> − 6</w:t>
      </w:r>
      <w:r>
        <w:t xml:space="preserve"> —7</w:t>
      </w:r>
    </w:p>
    <w:p w:rsidR="00283279" w:rsidRDefault="003F719C">
      <w:pPr>
        <w:ind w:left="-5" w:right="30"/>
      </w:pPr>
      <w:r>
        <w:t>where</w:t>
      </w:r>
      <w:r>
        <w:rPr>
          <w:i/>
        </w:rPr>
        <w:t xml:space="preserve"> C</w:t>
      </w:r>
      <w:r>
        <w:rPr>
          <w:i/>
          <w:sz w:val="14"/>
          <w:vertAlign w:val="subscript"/>
        </w:rPr>
        <w:t>j</w:t>
      </w:r>
      <w:r>
        <w:rPr>
          <w:i/>
          <w:sz w:val="14"/>
          <w:vertAlign w:val="superscript"/>
        </w:rPr>
        <w:t>t</w:t>
      </w:r>
      <w:r>
        <w:rPr>
          <w:i/>
        </w:rPr>
        <w:t xml:space="preserve"> </w:t>
      </w:r>
      <w:r>
        <w:t xml:space="preserve">is the number of new cases reported in county </w:t>
      </w:r>
      <w:r>
        <w:rPr>
          <w:i/>
        </w:rPr>
        <w:t>j</w:t>
      </w:r>
      <w:r>
        <w:t xml:space="preserve"> on a day </w:t>
      </w:r>
      <w:r>
        <w:rPr>
          <w:i/>
        </w:rPr>
        <w:t>t</w:t>
      </w:r>
      <w:r>
        <w:t>.</w:t>
      </w:r>
    </w:p>
    <w:p w:rsidR="00283279" w:rsidRDefault="003F719C">
      <w:pPr>
        <w:ind w:left="-15" w:right="30" w:firstLine="142"/>
      </w:pPr>
      <w:r>
        <w:t>GR could take on any non-negative value and is defined only when the average number of reported cases per day is greater than one over any period (3-day or 7-day moving averages). GR equals 0 when an average of one new case per day was reported over the la</w:t>
      </w:r>
      <w:r>
        <w:t>st 3 days, and at least seven new confirmed cases reported over the last week. GR equals 1 when there was no change in the growth rates since last week (ie, the average number of new cases per day over the last 3 days was the same as the average over the l</w:t>
      </w:r>
      <w:r>
        <w:t>ast 7 days). A GR below 1 means that the growth rate during the last 3 days was lower than that of the last week, whereas a value greater than 1 represented a growth rate increase in the last 3 days relative to the last week. We used moving averages to smo</w:t>
      </w:r>
      <w:r>
        <w:t>oth volatile case reporting data. This metric, used in conjunction with the social distancing proxy MR, allowed us to grasp the complex and timedependent dynamics at play between human mobility and COVID-19 spread for each county in the USA.</w:t>
      </w:r>
    </w:p>
    <w:p w:rsidR="00283279" w:rsidRDefault="003F719C">
      <w:pPr>
        <w:ind w:left="-15" w:right="30" w:firstLine="142"/>
      </w:pPr>
      <w:r>
        <w:t xml:space="preserve">Using the two </w:t>
      </w:r>
      <w:r>
        <w:t>aforementioned metrics, we evaluated if and how well social distancing affects the rate of new infections in the 25 counties in the USA with the highest number of confirmed cases on April 16, 2020. King County, WA, was excluded because its initial outbreak</w:t>
      </w:r>
      <w:r>
        <w:t xml:space="preserve"> preceded the time period considered in our analysis, and was driven by an infection source that differed from other outbreaks in the USA. We fitted a generalised linear model (GLM) for each county, specifically using lagged MR as a predictor of COVID-19 g</w:t>
      </w:r>
      <w:r>
        <w:t xml:space="preserve">rowth rate and tested the correlation of MR and GR at different time lags. The </w:t>
      </w:r>
    </w:p>
    <w:tbl>
      <w:tblPr>
        <w:tblStyle w:val="TableGrid"/>
        <w:tblW w:w="4275" w:type="dxa"/>
        <w:tblInd w:w="3" w:type="dxa"/>
        <w:tblCellMar>
          <w:top w:w="0" w:type="dxa"/>
          <w:left w:w="116" w:type="dxa"/>
          <w:bottom w:w="82" w:type="dxa"/>
          <w:right w:w="91" w:type="dxa"/>
        </w:tblCellMar>
        <w:tblLook w:val="04A0" w:firstRow="1" w:lastRow="0" w:firstColumn="1" w:lastColumn="0" w:noHBand="0" w:noVBand="1"/>
      </w:tblPr>
      <w:tblGrid>
        <w:gridCol w:w="4275"/>
      </w:tblGrid>
      <w:tr w:rsidR="00283279">
        <w:trPr>
          <w:trHeight w:val="8591"/>
        </w:trPr>
        <w:tc>
          <w:tcPr>
            <w:tcW w:w="4275" w:type="dxa"/>
            <w:tcBorders>
              <w:top w:val="single" w:sz="2" w:space="0" w:color="A82B3D"/>
              <w:left w:val="single" w:sz="2" w:space="0" w:color="A82B3D"/>
              <w:bottom w:val="single" w:sz="2" w:space="0" w:color="A82B3D"/>
              <w:right w:val="single" w:sz="2" w:space="0" w:color="A82B3D"/>
            </w:tcBorders>
            <w:shd w:val="clear" w:color="auto" w:fill="F8E0DB"/>
            <w:vAlign w:val="bottom"/>
          </w:tcPr>
          <w:tbl>
            <w:tblPr>
              <w:tblStyle w:val="TableGrid"/>
              <w:tblW w:w="4044" w:type="dxa"/>
              <w:tblInd w:w="0" w:type="dxa"/>
              <w:tblCellMar>
                <w:top w:w="0" w:type="dxa"/>
                <w:left w:w="0" w:type="dxa"/>
                <w:bottom w:w="0" w:type="dxa"/>
                <w:right w:w="115" w:type="dxa"/>
              </w:tblCellMar>
              <w:tblLook w:val="04A0" w:firstRow="1" w:lastRow="0" w:firstColumn="1" w:lastColumn="0" w:noHBand="0" w:noVBand="1"/>
            </w:tblPr>
            <w:tblGrid>
              <w:gridCol w:w="1674"/>
              <w:gridCol w:w="873"/>
              <w:gridCol w:w="805"/>
              <w:gridCol w:w="692"/>
            </w:tblGrid>
            <w:tr w:rsidR="00283279">
              <w:trPr>
                <w:trHeight w:val="398"/>
              </w:trPr>
              <w:tc>
                <w:tcPr>
                  <w:tcW w:w="1673" w:type="dxa"/>
                  <w:tcBorders>
                    <w:top w:val="nil"/>
                    <w:left w:val="nil"/>
                    <w:bottom w:val="single" w:sz="2" w:space="0" w:color="181717"/>
                    <w:right w:val="nil"/>
                  </w:tcBorders>
                </w:tcPr>
                <w:p w:rsidR="00283279" w:rsidRDefault="00283279">
                  <w:pPr>
                    <w:spacing w:after="160" w:line="259" w:lineRule="auto"/>
                    <w:ind w:left="0" w:right="0" w:firstLine="0"/>
                    <w:jc w:val="left"/>
                  </w:pPr>
                </w:p>
              </w:tc>
              <w:tc>
                <w:tcPr>
                  <w:tcW w:w="873" w:type="dxa"/>
                  <w:tcBorders>
                    <w:top w:val="nil"/>
                    <w:left w:val="nil"/>
                    <w:bottom w:val="single" w:sz="2" w:space="0" w:color="181717"/>
                    <w:right w:val="nil"/>
                  </w:tcBorders>
                </w:tcPr>
                <w:p w:rsidR="00283279" w:rsidRDefault="003F719C">
                  <w:pPr>
                    <w:spacing w:after="0" w:line="259" w:lineRule="auto"/>
                    <w:ind w:left="0" w:right="0" w:firstLine="0"/>
                    <w:jc w:val="left"/>
                  </w:pPr>
                  <w:r>
                    <w:rPr>
                      <w:rFonts w:ascii="Calibri" w:eastAsia="Calibri" w:hAnsi="Calibri" w:cs="Calibri"/>
                      <w:b/>
                      <w:sz w:val="14"/>
                    </w:rPr>
                    <w:t>Correlation coefficient</w:t>
                  </w:r>
                </w:p>
              </w:tc>
              <w:tc>
                <w:tcPr>
                  <w:tcW w:w="805" w:type="dxa"/>
                  <w:tcBorders>
                    <w:top w:val="nil"/>
                    <w:left w:val="nil"/>
                    <w:bottom w:val="single" w:sz="2" w:space="0" w:color="181717"/>
                    <w:right w:val="nil"/>
                  </w:tcBorders>
                </w:tcPr>
                <w:p w:rsidR="00283279" w:rsidRDefault="003F719C">
                  <w:pPr>
                    <w:spacing w:after="0" w:line="259" w:lineRule="auto"/>
                    <w:ind w:left="0" w:right="0" w:firstLine="0"/>
                    <w:jc w:val="left"/>
                  </w:pPr>
                  <w:r>
                    <w:rPr>
                      <w:rFonts w:ascii="Calibri" w:eastAsia="Calibri" w:hAnsi="Calibri" w:cs="Calibri"/>
                      <w:b/>
                      <w:sz w:val="14"/>
                    </w:rPr>
                    <w:t>Intercept</w:t>
                  </w:r>
                </w:p>
              </w:tc>
              <w:tc>
                <w:tcPr>
                  <w:tcW w:w="692" w:type="dxa"/>
                  <w:tcBorders>
                    <w:top w:val="nil"/>
                    <w:left w:val="nil"/>
                    <w:bottom w:val="single" w:sz="2" w:space="0" w:color="181717"/>
                    <w:right w:val="nil"/>
                  </w:tcBorders>
                </w:tcPr>
                <w:p w:rsidR="00283279" w:rsidRDefault="003F719C">
                  <w:pPr>
                    <w:spacing w:after="0" w:line="259" w:lineRule="auto"/>
                    <w:ind w:left="0" w:right="0" w:firstLine="0"/>
                    <w:jc w:val="left"/>
                  </w:pPr>
                  <w:r>
                    <w:rPr>
                      <w:rFonts w:ascii="Calibri" w:eastAsia="Calibri" w:hAnsi="Calibri" w:cs="Calibri"/>
                      <w:b/>
                      <w:sz w:val="14"/>
                    </w:rPr>
                    <w:t>Slope</w:t>
                  </w:r>
                </w:p>
              </w:tc>
            </w:tr>
            <w:tr w:rsidR="00283279">
              <w:trPr>
                <w:trHeight w:val="248"/>
              </w:trPr>
              <w:tc>
                <w:tcPr>
                  <w:tcW w:w="1673" w:type="dxa"/>
                  <w:tcBorders>
                    <w:top w:val="single" w:sz="2" w:space="0" w:color="181717"/>
                    <w:left w:val="nil"/>
                    <w:bottom w:val="nil"/>
                    <w:right w:val="nil"/>
                  </w:tcBorders>
                </w:tcPr>
                <w:p w:rsidR="00283279" w:rsidRDefault="003F719C">
                  <w:pPr>
                    <w:spacing w:after="0" w:line="259" w:lineRule="auto"/>
                    <w:ind w:left="57" w:right="0" w:firstLine="0"/>
                    <w:jc w:val="left"/>
                  </w:pPr>
                  <w:r>
                    <w:rPr>
                      <w:rFonts w:ascii="Calibri" w:eastAsia="Calibri" w:hAnsi="Calibri" w:cs="Calibri"/>
                      <w:sz w:val="14"/>
                    </w:rPr>
                    <w:t>Essex, NJ (34013)</w:t>
                  </w:r>
                </w:p>
              </w:tc>
              <w:tc>
                <w:tcPr>
                  <w:tcW w:w="873" w:type="dxa"/>
                  <w:tcBorders>
                    <w:top w:val="single" w:sz="2" w:space="0" w:color="181717"/>
                    <w:left w:val="nil"/>
                    <w:bottom w:val="nil"/>
                    <w:right w:val="nil"/>
                  </w:tcBorders>
                </w:tcPr>
                <w:p w:rsidR="00283279" w:rsidRDefault="003F719C">
                  <w:pPr>
                    <w:spacing w:after="0" w:line="259" w:lineRule="auto"/>
                    <w:ind w:left="11" w:right="0" w:firstLine="0"/>
                    <w:jc w:val="left"/>
                  </w:pPr>
                  <w:r>
                    <w:rPr>
                      <w:rFonts w:ascii="Calibri" w:eastAsia="Calibri" w:hAnsi="Calibri" w:cs="Calibri"/>
                      <w:sz w:val="14"/>
                    </w:rPr>
                    <w:t>0·90</w:t>
                  </w:r>
                </w:p>
              </w:tc>
              <w:tc>
                <w:tcPr>
                  <w:tcW w:w="805" w:type="dxa"/>
                  <w:tcBorders>
                    <w:top w:val="single" w:sz="2" w:space="0" w:color="181717"/>
                    <w:left w:val="nil"/>
                    <w:bottom w:val="nil"/>
                    <w:right w:val="nil"/>
                  </w:tcBorders>
                </w:tcPr>
                <w:p w:rsidR="00283279" w:rsidRDefault="003F719C">
                  <w:pPr>
                    <w:spacing w:after="0" w:line="259" w:lineRule="auto"/>
                    <w:ind w:left="11" w:right="0" w:firstLine="0"/>
                    <w:jc w:val="left"/>
                  </w:pPr>
                  <w:r>
                    <w:rPr>
                      <w:rFonts w:ascii="Calibri" w:eastAsia="Calibri" w:hAnsi="Calibri" w:cs="Calibri"/>
                      <w:sz w:val="14"/>
                    </w:rPr>
                    <w:t>0·86</w:t>
                  </w:r>
                </w:p>
              </w:tc>
              <w:tc>
                <w:tcPr>
                  <w:tcW w:w="692" w:type="dxa"/>
                  <w:tcBorders>
                    <w:top w:val="single" w:sz="2" w:space="0" w:color="181717"/>
                    <w:left w:val="nil"/>
                    <w:bottom w:val="nil"/>
                    <w:right w:val="nil"/>
                  </w:tcBorders>
                </w:tcPr>
                <w:p w:rsidR="00283279" w:rsidRDefault="003F719C">
                  <w:pPr>
                    <w:spacing w:after="0" w:line="259" w:lineRule="auto"/>
                    <w:ind w:left="31" w:right="0" w:firstLine="0"/>
                    <w:jc w:val="left"/>
                  </w:pPr>
                  <w:r>
                    <w:rPr>
                      <w:rFonts w:ascii="Calibri" w:eastAsia="Calibri" w:hAnsi="Calibri" w:cs="Calibri"/>
                      <w:sz w:val="14"/>
                    </w:rPr>
                    <w:t>0·26</w:t>
                  </w:r>
                </w:p>
              </w:tc>
            </w:tr>
            <w:tr w:rsidR="00283279">
              <w:trPr>
                <w:trHeight w:val="226"/>
              </w:trPr>
              <w:tc>
                <w:tcPr>
                  <w:tcW w:w="1673" w:type="dxa"/>
                  <w:tcBorders>
                    <w:top w:val="nil"/>
                    <w:left w:val="nil"/>
                    <w:bottom w:val="nil"/>
                    <w:right w:val="nil"/>
                  </w:tcBorders>
                  <w:shd w:val="clear" w:color="auto" w:fill="FFFEFD"/>
                </w:tcPr>
                <w:p w:rsidR="00283279" w:rsidRDefault="003F719C">
                  <w:pPr>
                    <w:spacing w:after="0" w:line="259" w:lineRule="auto"/>
                    <w:ind w:left="57" w:right="0" w:firstLine="0"/>
                    <w:jc w:val="left"/>
                  </w:pPr>
                  <w:r>
                    <w:rPr>
                      <w:rFonts w:ascii="Calibri" w:eastAsia="Calibri" w:hAnsi="Calibri" w:cs="Calibri"/>
                      <w:sz w:val="14"/>
                    </w:rPr>
                    <w:t>New York City, NY* (36061)</w:t>
                  </w:r>
                </w:p>
              </w:tc>
              <w:tc>
                <w:tcPr>
                  <w:tcW w:w="873" w:type="dxa"/>
                  <w:tcBorders>
                    <w:top w:val="nil"/>
                    <w:left w:val="nil"/>
                    <w:bottom w:val="nil"/>
                    <w:right w:val="nil"/>
                  </w:tcBorders>
                  <w:shd w:val="clear" w:color="auto" w:fill="FFFEFD"/>
                </w:tcPr>
                <w:p w:rsidR="00283279" w:rsidRDefault="003F719C">
                  <w:pPr>
                    <w:spacing w:after="0" w:line="259" w:lineRule="auto"/>
                    <w:ind w:left="11" w:right="0" w:firstLine="0"/>
                    <w:jc w:val="left"/>
                  </w:pPr>
                  <w:r>
                    <w:rPr>
                      <w:rFonts w:ascii="Calibri" w:eastAsia="Calibri" w:hAnsi="Calibri" w:cs="Calibri"/>
                      <w:sz w:val="14"/>
                    </w:rPr>
                    <w:t>0·86</w:t>
                  </w:r>
                </w:p>
              </w:tc>
              <w:tc>
                <w:tcPr>
                  <w:tcW w:w="805" w:type="dxa"/>
                  <w:tcBorders>
                    <w:top w:val="nil"/>
                    <w:left w:val="nil"/>
                    <w:bottom w:val="nil"/>
                    <w:right w:val="nil"/>
                  </w:tcBorders>
                  <w:shd w:val="clear" w:color="auto" w:fill="FFFEFD"/>
                </w:tcPr>
                <w:p w:rsidR="00283279" w:rsidRDefault="003F719C">
                  <w:pPr>
                    <w:spacing w:after="0" w:line="259" w:lineRule="auto"/>
                    <w:ind w:left="11" w:right="0" w:firstLine="0"/>
                    <w:jc w:val="left"/>
                  </w:pPr>
                  <w:r>
                    <w:rPr>
                      <w:rFonts w:ascii="Calibri" w:eastAsia="Calibri" w:hAnsi="Calibri" w:cs="Calibri"/>
                      <w:sz w:val="14"/>
                    </w:rPr>
                    <w:t>0·94</w:t>
                  </w:r>
                </w:p>
              </w:tc>
              <w:tc>
                <w:tcPr>
                  <w:tcW w:w="692" w:type="dxa"/>
                  <w:tcBorders>
                    <w:top w:val="nil"/>
                    <w:left w:val="nil"/>
                    <w:bottom w:val="nil"/>
                    <w:right w:val="nil"/>
                  </w:tcBorders>
                  <w:shd w:val="clear" w:color="auto" w:fill="FFFEFD"/>
                </w:tcPr>
                <w:p w:rsidR="00283279" w:rsidRDefault="003F719C">
                  <w:pPr>
                    <w:spacing w:after="0" w:line="259" w:lineRule="auto"/>
                    <w:ind w:left="31" w:right="0" w:firstLine="0"/>
                    <w:jc w:val="left"/>
                  </w:pPr>
                  <w:r>
                    <w:rPr>
                      <w:rFonts w:ascii="Calibri" w:eastAsia="Calibri" w:hAnsi="Calibri" w:cs="Calibri"/>
                      <w:sz w:val="14"/>
                    </w:rPr>
                    <w:t>0·14</w:t>
                  </w:r>
                </w:p>
              </w:tc>
            </w:tr>
            <w:tr w:rsidR="00283279">
              <w:trPr>
                <w:trHeight w:val="226"/>
              </w:trPr>
              <w:tc>
                <w:tcPr>
                  <w:tcW w:w="1673" w:type="dxa"/>
                  <w:tcBorders>
                    <w:top w:val="nil"/>
                    <w:left w:val="nil"/>
                    <w:bottom w:val="nil"/>
                    <w:right w:val="nil"/>
                  </w:tcBorders>
                </w:tcPr>
                <w:p w:rsidR="00283279" w:rsidRDefault="003F719C">
                  <w:pPr>
                    <w:spacing w:after="0" w:line="259" w:lineRule="auto"/>
                    <w:ind w:left="57" w:right="0" w:firstLine="0"/>
                    <w:jc w:val="left"/>
                  </w:pPr>
                  <w:r>
                    <w:rPr>
                      <w:rFonts w:ascii="Calibri" w:eastAsia="Calibri" w:hAnsi="Calibri" w:cs="Calibri"/>
                      <w:sz w:val="14"/>
                    </w:rPr>
                    <w:t>Middlesex, NJ (34023)</w:t>
                  </w:r>
                </w:p>
              </w:tc>
              <w:tc>
                <w:tcPr>
                  <w:tcW w:w="873" w:type="dxa"/>
                  <w:tcBorders>
                    <w:top w:val="nil"/>
                    <w:left w:val="nil"/>
                    <w:bottom w:val="nil"/>
                    <w:right w:val="nil"/>
                  </w:tcBorders>
                </w:tcPr>
                <w:p w:rsidR="00283279" w:rsidRDefault="003F719C">
                  <w:pPr>
                    <w:spacing w:after="0" w:line="259" w:lineRule="auto"/>
                    <w:ind w:left="11" w:right="0" w:firstLine="0"/>
                    <w:jc w:val="left"/>
                  </w:pPr>
                  <w:r>
                    <w:rPr>
                      <w:rFonts w:ascii="Calibri" w:eastAsia="Calibri" w:hAnsi="Calibri" w:cs="Calibri"/>
                      <w:sz w:val="14"/>
                    </w:rPr>
                    <w:t>0·85</w:t>
                  </w:r>
                </w:p>
              </w:tc>
              <w:tc>
                <w:tcPr>
                  <w:tcW w:w="805" w:type="dxa"/>
                  <w:tcBorders>
                    <w:top w:val="nil"/>
                    <w:left w:val="nil"/>
                    <w:bottom w:val="nil"/>
                    <w:right w:val="nil"/>
                  </w:tcBorders>
                </w:tcPr>
                <w:p w:rsidR="00283279" w:rsidRDefault="003F719C">
                  <w:pPr>
                    <w:spacing w:after="0" w:line="259" w:lineRule="auto"/>
                    <w:ind w:left="11" w:right="0" w:firstLine="0"/>
                    <w:jc w:val="left"/>
                  </w:pPr>
                  <w:r>
                    <w:rPr>
                      <w:rFonts w:ascii="Calibri" w:eastAsia="Calibri" w:hAnsi="Calibri" w:cs="Calibri"/>
                      <w:sz w:val="14"/>
                    </w:rPr>
                    <w:t>0·89</w:t>
                  </w:r>
                </w:p>
              </w:tc>
              <w:tc>
                <w:tcPr>
                  <w:tcW w:w="692" w:type="dxa"/>
                  <w:tcBorders>
                    <w:top w:val="nil"/>
                    <w:left w:val="nil"/>
                    <w:bottom w:val="nil"/>
                    <w:right w:val="nil"/>
                  </w:tcBorders>
                </w:tcPr>
                <w:p w:rsidR="00283279" w:rsidRDefault="003F719C">
                  <w:pPr>
                    <w:spacing w:after="0" w:line="259" w:lineRule="auto"/>
                    <w:ind w:left="31" w:right="0" w:firstLine="0"/>
                    <w:jc w:val="left"/>
                  </w:pPr>
                  <w:r>
                    <w:rPr>
                      <w:rFonts w:ascii="Calibri" w:eastAsia="Calibri" w:hAnsi="Calibri" w:cs="Calibri"/>
                      <w:sz w:val="14"/>
                    </w:rPr>
                    <w:t>0·24</w:t>
                  </w:r>
                </w:p>
              </w:tc>
            </w:tr>
            <w:tr w:rsidR="00283279">
              <w:trPr>
                <w:trHeight w:val="226"/>
              </w:trPr>
              <w:tc>
                <w:tcPr>
                  <w:tcW w:w="1673" w:type="dxa"/>
                  <w:tcBorders>
                    <w:top w:val="nil"/>
                    <w:left w:val="nil"/>
                    <w:bottom w:val="nil"/>
                    <w:right w:val="nil"/>
                  </w:tcBorders>
                  <w:shd w:val="clear" w:color="auto" w:fill="FFFEFD"/>
                </w:tcPr>
                <w:p w:rsidR="00283279" w:rsidRDefault="003F719C">
                  <w:pPr>
                    <w:spacing w:after="0" w:line="259" w:lineRule="auto"/>
                    <w:ind w:left="57" w:right="0" w:firstLine="0"/>
                    <w:jc w:val="left"/>
                  </w:pPr>
                  <w:r>
                    <w:rPr>
                      <w:rFonts w:ascii="Calibri" w:eastAsia="Calibri" w:hAnsi="Calibri" w:cs="Calibri"/>
                      <w:sz w:val="14"/>
                    </w:rPr>
                    <w:t>Cook, IL (17031)</w:t>
                  </w:r>
                </w:p>
              </w:tc>
              <w:tc>
                <w:tcPr>
                  <w:tcW w:w="873" w:type="dxa"/>
                  <w:tcBorders>
                    <w:top w:val="nil"/>
                    <w:left w:val="nil"/>
                    <w:bottom w:val="nil"/>
                    <w:right w:val="nil"/>
                  </w:tcBorders>
                  <w:shd w:val="clear" w:color="auto" w:fill="FFFEFD"/>
                </w:tcPr>
                <w:p w:rsidR="00283279" w:rsidRDefault="003F719C">
                  <w:pPr>
                    <w:spacing w:after="0" w:line="259" w:lineRule="auto"/>
                    <w:ind w:left="11" w:right="0" w:firstLine="0"/>
                    <w:jc w:val="left"/>
                  </w:pPr>
                  <w:r>
                    <w:rPr>
                      <w:rFonts w:ascii="Calibri" w:eastAsia="Calibri" w:hAnsi="Calibri" w:cs="Calibri"/>
                      <w:sz w:val="14"/>
                    </w:rPr>
                    <w:t>0·85</w:t>
                  </w:r>
                </w:p>
              </w:tc>
              <w:tc>
                <w:tcPr>
                  <w:tcW w:w="805" w:type="dxa"/>
                  <w:tcBorders>
                    <w:top w:val="nil"/>
                    <w:left w:val="nil"/>
                    <w:bottom w:val="nil"/>
                    <w:right w:val="nil"/>
                  </w:tcBorders>
                  <w:shd w:val="clear" w:color="auto" w:fill="FFFEFD"/>
                </w:tcPr>
                <w:p w:rsidR="00283279" w:rsidRDefault="003F719C">
                  <w:pPr>
                    <w:spacing w:after="0" w:line="259" w:lineRule="auto"/>
                    <w:ind w:left="11" w:right="0" w:firstLine="0"/>
                    <w:jc w:val="left"/>
                  </w:pPr>
                  <w:r>
                    <w:rPr>
                      <w:rFonts w:ascii="Calibri" w:eastAsia="Calibri" w:hAnsi="Calibri" w:cs="Calibri"/>
                      <w:sz w:val="14"/>
                    </w:rPr>
                    <w:t>0·89</w:t>
                  </w:r>
                </w:p>
              </w:tc>
              <w:tc>
                <w:tcPr>
                  <w:tcW w:w="692" w:type="dxa"/>
                  <w:tcBorders>
                    <w:top w:val="nil"/>
                    <w:left w:val="nil"/>
                    <w:bottom w:val="nil"/>
                    <w:right w:val="nil"/>
                  </w:tcBorders>
                  <w:shd w:val="clear" w:color="auto" w:fill="FFFEFD"/>
                </w:tcPr>
                <w:p w:rsidR="00283279" w:rsidRDefault="003F719C">
                  <w:pPr>
                    <w:spacing w:after="0" w:line="259" w:lineRule="auto"/>
                    <w:ind w:left="31" w:right="0" w:firstLine="0"/>
                    <w:jc w:val="left"/>
                  </w:pPr>
                  <w:r>
                    <w:rPr>
                      <w:rFonts w:ascii="Calibri" w:eastAsia="Calibri" w:hAnsi="Calibri" w:cs="Calibri"/>
                      <w:sz w:val="14"/>
                    </w:rPr>
                    <w:t>0·22</w:t>
                  </w:r>
                </w:p>
              </w:tc>
            </w:tr>
            <w:tr w:rsidR="00283279">
              <w:trPr>
                <w:trHeight w:val="226"/>
              </w:trPr>
              <w:tc>
                <w:tcPr>
                  <w:tcW w:w="1673" w:type="dxa"/>
                  <w:tcBorders>
                    <w:top w:val="nil"/>
                    <w:left w:val="nil"/>
                    <w:bottom w:val="nil"/>
                    <w:right w:val="nil"/>
                  </w:tcBorders>
                </w:tcPr>
                <w:p w:rsidR="00283279" w:rsidRDefault="003F719C">
                  <w:pPr>
                    <w:spacing w:after="0" w:line="259" w:lineRule="auto"/>
                    <w:ind w:left="57" w:right="0" w:firstLine="0"/>
                    <w:jc w:val="left"/>
                  </w:pPr>
                  <w:r>
                    <w:rPr>
                      <w:rFonts w:ascii="Calibri" w:eastAsia="Calibri" w:hAnsi="Calibri" w:cs="Calibri"/>
                      <w:sz w:val="14"/>
                    </w:rPr>
                    <w:t>Hudson, NJ (34017)</w:t>
                  </w:r>
                </w:p>
              </w:tc>
              <w:tc>
                <w:tcPr>
                  <w:tcW w:w="873" w:type="dxa"/>
                  <w:tcBorders>
                    <w:top w:val="nil"/>
                    <w:left w:val="nil"/>
                    <w:bottom w:val="nil"/>
                    <w:right w:val="nil"/>
                  </w:tcBorders>
                </w:tcPr>
                <w:p w:rsidR="00283279" w:rsidRDefault="003F719C">
                  <w:pPr>
                    <w:spacing w:after="0" w:line="259" w:lineRule="auto"/>
                    <w:ind w:left="11" w:right="0" w:firstLine="0"/>
                    <w:jc w:val="left"/>
                  </w:pPr>
                  <w:r>
                    <w:rPr>
                      <w:rFonts w:ascii="Calibri" w:eastAsia="Calibri" w:hAnsi="Calibri" w:cs="Calibri"/>
                      <w:sz w:val="14"/>
                    </w:rPr>
                    <w:t>0·84</w:t>
                  </w:r>
                </w:p>
              </w:tc>
              <w:tc>
                <w:tcPr>
                  <w:tcW w:w="805" w:type="dxa"/>
                  <w:tcBorders>
                    <w:top w:val="nil"/>
                    <w:left w:val="nil"/>
                    <w:bottom w:val="nil"/>
                    <w:right w:val="nil"/>
                  </w:tcBorders>
                </w:tcPr>
                <w:p w:rsidR="00283279" w:rsidRDefault="003F719C">
                  <w:pPr>
                    <w:spacing w:after="0" w:line="259" w:lineRule="auto"/>
                    <w:ind w:left="11" w:right="0" w:firstLine="0"/>
                    <w:jc w:val="left"/>
                  </w:pPr>
                  <w:r>
                    <w:rPr>
                      <w:rFonts w:ascii="Calibri" w:eastAsia="Calibri" w:hAnsi="Calibri" w:cs="Calibri"/>
                      <w:sz w:val="14"/>
                    </w:rPr>
                    <w:t>0·90</w:t>
                  </w:r>
                </w:p>
              </w:tc>
              <w:tc>
                <w:tcPr>
                  <w:tcW w:w="692" w:type="dxa"/>
                  <w:tcBorders>
                    <w:top w:val="nil"/>
                    <w:left w:val="nil"/>
                    <w:bottom w:val="nil"/>
                    <w:right w:val="nil"/>
                  </w:tcBorders>
                </w:tcPr>
                <w:p w:rsidR="00283279" w:rsidRDefault="003F719C">
                  <w:pPr>
                    <w:spacing w:after="0" w:line="259" w:lineRule="auto"/>
                    <w:ind w:left="31" w:right="0" w:firstLine="0"/>
                    <w:jc w:val="left"/>
                  </w:pPr>
                  <w:r>
                    <w:rPr>
                      <w:rFonts w:ascii="Calibri" w:eastAsia="Calibri" w:hAnsi="Calibri" w:cs="Calibri"/>
                      <w:sz w:val="14"/>
                    </w:rPr>
                    <w:t>0·23</w:t>
                  </w:r>
                </w:p>
              </w:tc>
            </w:tr>
            <w:tr w:rsidR="00283279">
              <w:trPr>
                <w:trHeight w:val="226"/>
              </w:trPr>
              <w:tc>
                <w:tcPr>
                  <w:tcW w:w="1673" w:type="dxa"/>
                  <w:tcBorders>
                    <w:top w:val="nil"/>
                    <w:left w:val="nil"/>
                    <w:bottom w:val="nil"/>
                    <w:right w:val="nil"/>
                  </w:tcBorders>
                  <w:shd w:val="clear" w:color="auto" w:fill="FFFEFD"/>
                </w:tcPr>
                <w:p w:rsidR="00283279" w:rsidRDefault="003F719C">
                  <w:pPr>
                    <w:spacing w:after="0" w:line="259" w:lineRule="auto"/>
                    <w:ind w:left="57" w:right="0" w:firstLine="0"/>
                    <w:jc w:val="left"/>
                  </w:pPr>
                  <w:r>
                    <w:rPr>
                      <w:rFonts w:ascii="Calibri" w:eastAsia="Calibri" w:hAnsi="Calibri" w:cs="Calibri"/>
                      <w:sz w:val="14"/>
                    </w:rPr>
                    <w:t>Nassau, NY (36059)</w:t>
                  </w:r>
                </w:p>
              </w:tc>
              <w:tc>
                <w:tcPr>
                  <w:tcW w:w="873" w:type="dxa"/>
                  <w:tcBorders>
                    <w:top w:val="nil"/>
                    <w:left w:val="nil"/>
                    <w:bottom w:val="nil"/>
                    <w:right w:val="nil"/>
                  </w:tcBorders>
                  <w:shd w:val="clear" w:color="auto" w:fill="FFFEFD"/>
                </w:tcPr>
                <w:p w:rsidR="00283279" w:rsidRDefault="003F719C">
                  <w:pPr>
                    <w:spacing w:after="0" w:line="259" w:lineRule="auto"/>
                    <w:ind w:left="11" w:right="0" w:firstLine="0"/>
                    <w:jc w:val="left"/>
                  </w:pPr>
                  <w:r>
                    <w:rPr>
                      <w:rFonts w:ascii="Calibri" w:eastAsia="Calibri" w:hAnsi="Calibri" w:cs="Calibri"/>
                      <w:sz w:val="14"/>
                    </w:rPr>
                    <w:t>0·84</w:t>
                  </w:r>
                </w:p>
              </w:tc>
              <w:tc>
                <w:tcPr>
                  <w:tcW w:w="805" w:type="dxa"/>
                  <w:tcBorders>
                    <w:top w:val="nil"/>
                    <w:left w:val="nil"/>
                    <w:bottom w:val="nil"/>
                    <w:right w:val="nil"/>
                  </w:tcBorders>
                  <w:shd w:val="clear" w:color="auto" w:fill="FFFEFD"/>
                </w:tcPr>
                <w:p w:rsidR="00283279" w:rsidRDefault="003F719C">
                  <w:pPr>
                    <w:spacing w:after="0" w:line="259" w:lineRule="auto"/>
                    <w:ind w:left="11" w:right="0" w:firstLine="0"/>
                    <w:jc w:val="left"/>
                  </w:pPr>
                  <w:r>
                    <w:rPr>
                      <w:rFonts w:ascii="Calibri" w:eastAsia="Calibri" w:hAnsi="Calibri" w:cs="Calibri"/>
                      <w:sz w:val="14"/>
                    </w:rPr>
                    <w:t>0·89</w:t>
                  </w:r>
                </w:p>
              </w:tc>
              <w:tc>
                <w:tcPr>
                  <w:tcW w:w="692" w:type="dxa"/>
                  <w:tcBorders>
                    <w:top w:val="nil"/>
                    <w:left w:val="nil"/>
                    <w:bottom w:val="nil"/>
                    <w:right w:val="nil"/>
                  </w:tcBorders>
                  <w:shd w:val="clear" w:color="auto" w:fill="FFFEFD"/>
                </w:tcPr>
                <w:p w:rsidR="00283279" w:rsidRDefault="003F719C">
                  <w:pPr>
                    <w:spacing w:after="0" w:line="259" w:lineRule="auto"/>
                    <w:ind w:left="31" w:right="0" w:firstLine="0"/>
                    <w:jc w:val="left"/>
                  </w:pPr>
                  <w:r>
                    <w:rPr>
                      <w:rFonts w:ascii="Calibri" w:eastAsia="Calibri" w:hAnsi="Calibri" w:cs="Calibri"/>
                      <w:sz w:val="14"/>
                    </w:rPr>
                    <w:t>0·22</w:t>
                  </w:r>
                </w:p>
              </w:tc>
            </w:tr>
            <w:tr w:rsidR="00283279">
              <w:trPr>
                <w:trHeight w:val="226"/>
              </w:trPr>
              <w:tc>
                <w:tcPr>
                  <w:tcW w:w="1673" w:type="dxa"/>
                  <w:tcBorders>
                    <w:top w:val="nil"/>
                    <w:left w:val="nil"/>
                    <w:bottom w:val="nil"/>
                    <w:right w:val="nil"/>
                  </w:tcBorders>
                </w:tcPr>
                <w:p w:rsidR="00283279" w:rsidRDefault="003F719C">
                  <w:pPr>
                    <w:spacing w:after="0" w:line="259" w:lineRule="auto"/>
                    <w:ind w:left="57" w:right="0" w:firstLine="0"/>
                    <w:jc w:val="left"/>
                  </w:pPr>
                  <w:r>
                    <w:rPr>
                      <w:rFonts w:ascii="Calibri" w:eastAsia="Calibri" w:hAnsi="Calibri" w:cs="Calibri"/>
                      <w:sz w:val="14"/>
                    </w:rPr>
                    <w:t>Union, NJ (34039)</w:t>
                  </w:r>
                </w:p>
              </w:tc>
              <w:tc>
                <w:tcPr>
                  <w:tcW w:w="873" w:type="dxa"/>
                  <w:tcBorders>
                    <w:top w:val="nil"/>
                    <w:left w:val="nil"/>
                    <w:bottom w:val="nil"/>
                    <w:right w:val="nil"/>
                  </w:tcBorders>
                </w:tcPr>
                <w:p w:rsidR="00283279" w:rsidRDefault="003F719C">
                  <w:pPr>
                    <w:spacing w:after="0" w:line="259" w:lineRule="auto"/>
                    <w:ind w:left="11" w:right="0" w:firstLine="0"/>
                    <w:jc w:val="left"/>
                  </w:pPr>
                  <w:r>
                    <w:rPr>
                      <w:rFonts w:ascii="Calibri" w:eastAsia="Calibri" w:hAnsi="Calibri" w:cs="Calibri"/>
                      <w:sz w:val="14"/>
                    </w:rPr>
                    <w:t>0·84</w:t>
                  </w:r>
                </w:p>
              </w:tc>
              <w:tc>
                <w:tcPr>
                  <w:tcW w:w="805" w:type="dxa"/>
                  <w:tcBorders>
                    <w:top w:val="nil"/>
                    <w:left w:val="nil"/>
                    <w:bottom w:val="nil"/>
                    <w:right w:val="nil"/>
                  </w:tcBorders>
                </w:tcPr>
                <w:p w:rsidR="00283279" w:rsidRDefault="003F719C">
                  <w:pPr>
                    <w:spacing w:after="0" w:line="259" w:lineRule="auto"/>
                    <w:ind w:left="11" w:right="0" w:firstLine="0"/>
                    <w:jc w:val="left"/>
                  </w:pPr>
                  <w:r>
                    <w:rPr>
                      <w:rFonts w:ascii="Calibri" w:eastAsia="Calibri" w:hAnsi="Calibri" w:cs="Calibri"/>
                      <w:sz w:val="14"/>
                    </w:rPr>
                    <w:t>0·85</w:t>
                  </w:r>
                </w:p>
              </w:tc>
              <w:tc>
                <w:tcPr>
                  <w:tcW w:w="692" w:type="dxa"/>
                  <w:tcBorders>
                    <w:top w:val="nil"/>
                    <w:left w:val="nil"/>
                    <w:bottom w:val="nil"/>
                    <w:right w:val="nil"/>
                  </w:tcBorders>
                </w:tcPr>
                <w:p w:rsidR="00283279" w:rsidRDefault="003F719C">
                  <w:pPr>
                    <w:spacing w:after="0" w:line="259" w:lineRule="auto"/>
                    <w:ind w:left="31" w:right="0" w:firstLine="0"/>
                    <w:jc w:val="left"/>
                  </w:pPr>
                  <w:r>
                    <w:rPr>
                      <w:rFonts w:ascii="Calibri" w:eastAsia="Calibri" w:hAnsi="Calibri" w:cs="Calibri"/>
                      <w:sz w:val="14"/>
                    </w:rPr>
                    <w:t>0·28</w:t>
                  </w:r>
                </w:p>
              </w:tc>
            </w:tr>
            <w:tr w:rsidR="00283279">
              <w:trPr>
                <w:trHeight w:val="226"/>
              </w:trPr>
              <w:tc>
                <w:tcPr>
                  <w:tcW w:w="1673" w:type="dxa"/>
                  <w:tcBorders>
                    <w:top w:val="nil"/>
                    <w:left w:val="nil"/>
                    <w:bottom w:val="nil"/>
                    <w:right w:val="nil"/>
                  </w:tcBorders>
                  <w:shd w:val="clear" w:color="auto" w:fill="FFFEFD"/>
                </w:tcPr>
                <w:p w:rsidR="00283279" w:rsidRDefault="003F719C">
                  <w:pPr>
                    <w:spacing w:after="0" w:line="259" w:lineRule="auto"/>
                    <w:ind w:left="57" w:right="0" w:firstLine="0"/>
                    <w:jc w:val="left"/>
                  </w:pPr>
                  <w:r>
                    <w:rPr>
                      <w:rFonts w:ascii="Calibri" w:eastAsia="Calibri" w:hAnsi="Calibri" w:cs="Calibri"/>
                      <w:sz w:val="14"/>
                    </w:rPr>
                    <w:t>Middlesex, MA (25017)</w:t>
                  </w:r>
                </w:p>
              </w:tc>
              <w:tc>
                <w:tcPr>
                  <w:tcW w:w="873" w:type="dxa"/>
                  <w:tcBorders>
                    <w:top w:val="nil"/>
                    <w:left w:val="nil"/>
                    <w:bottom w:val="nil"/>
                    <w:right w:val="nil"/>
                  </w:tcBorders>
                  <w:shd w:val="clear" w:color="auto" w:fill="FFFEFD"/>
                </w:tcPr>
                <w:p w:rsidR="00283279" w:rsidRDefault="003F719C">
                  <w:pPr>
                    <w:spacing w:after="0" w:line="259" w:lineRule="auto"/>
                    <w:ind w:left="11" w:right="0" w:firstLine="0"/>
                    <w:jc w:val="left"/>
                  </w:pPr>
                  <w:r>
                    <w:rPr>
                      <w:rFonts w:ascii="Calibri" w:eastAsia="Calibri" w:hAnsi="Calibri" w:cs="Calibri"/>
                      <w:sz w:val="14"/>
                    </w:rPr>
                    <w:t>0·83</w:t>
                  </w:r>
                </w:p>
              </w:tc>
              <w:tc>
                <w:tcPr>
                  <w:tcW w:w="805" w:type="dxa"/>
                  <w:tcBorders>
                    <w:top w:val="nil"/>
                    <w:left w:val="nil"/>
                    <w:bottom w:val="nil"/>
                    <w:right w:val="nil"/>
                  </w:tcBorders>
                  <w:shd w:val="clear" w:color="auto" w:fill="FFFEFD"/>
                </w:tcPr>
                <w:p w:rsidR="00283279" w:rsidRDefault="003F719C">
                  <w:pPr>
                    <w:spacing w:after="0" w:line="259" w:lineRule="auto"/>
                    <w:ind w:left="11" w:right="0" w:firstLine="0"/>
                    <w:jc w:val="left"/>
                  </w:pPr>
                  <w:r>
                    <w:rPr>
                      <w:rFonts w:ascii="Calibri" w:eastAsia="Calibri" w:hAnsi="Calibri" w:cs="Calibri"/>
                      <w:sz w:val="14"/>
                    </w:rPr>
                    <w:t>0·90</w:t>
                  </w:r>
                </w:p>
              </w:tc>
              <w:tc>
                <w:tcPr>
                  <w:tcW w:w="692" w:type="dxa"/>
                  <w:tcBorders>
                    <w:top w:val="nil"/>
                    <w:left w:val="nil"/>
                    <w:bottom w:val="nil"/>
                    <w:right w:val="nil"/>
                  </w:tcBorders>
                  <w:shd w:val="clear" w:color="auto" w:fill="FFFEFD"/>
                </w:tcPr>
                <w:p w:rsidR="00283279" w:rsidRDefault="003F719C">
                  <w:pPr>
                    <w:spacing w:after="0" w:line="259" w:lineRule="auto"/>
                    <w:ind w:left="31" w:right="0" w:firstLine="0"/>
                    <w:jc w:val="left"/>
                  </w:pPr>
                  <w:r>
                    <w:rPr>
                      <w:rFonts w:ascii="Calibri" w:eastAsia="Calibri" w:hAnsi="Calibri" w:cs="Calibri"/>
                      <w:sz w:val="14"/>
                    </w:rPr>
                    <w:t>0·24</w:t>
                  </w:r>
                </w:p>
              </w:tc>
            </w:tr>
            <w:tr w:rsidR="00283279">
              <w:trPr>
                <w:trHeight w:val="226"/>
              </w:trPr>
              <w:tc>
                <w:tcPr>
                  <w:tcW w:w="1673" w:type="dxa"/>
                  <w:tcBorders>
                    <w:top w:val="nil"/>
                    <w:left w:val="nil"/>
                    <w:bottom w:val="nil"/>
                    <w:right w:val="nil"/>
                  </w:tcBorders>
                </w:tcPr>
                <w:p w:rsidR="00283279" w:rsidRDefault="003F719C">
                  <w:pPr>
                    <w:spacing w:after="0" w:line="259" w:lineRule="auto"/>
                    <w:ind w:left="57" w:right="0" w:firstLine="0"/>
                    <w:jc w:val="left"/>
                  </w:pPr>
                  <w:r>
                    <w:rPr>
                      <w:rFonts w:ascii="Calibri" w:eastAsia="Calibri" w:hAnsi="Calibri" w:cs="Calibri"/>
                      <w:sz w:val="14"/>
                    </w:rPr>
                    <w:t>Suffolk, NY (36103)</w:t>
                  </w:r>
                </w:p>
              </w:tc>
              <w:tc>
                <w:tcPr>
                  <w:tcW w:w="873" w:type="dxa"/>
                  <w:tcBorders>
                    <w:top w:val="nil"/>
                    <w:left w:val="nil"/>
                    <w:bottom w:val="nil"/>
                    <w:right w:val="nil"/>
                  </w:tcBorders>
                </w:tcPr>
                <w:p w:rsidR="00283279" w:rsidRDefault="003F719C">
                  <w:pPr>
                    <w:spacing w:after="0" w:line="259" w:lineRule="auto"/>
                    <w:ind w:left="11" w:right="0" w:firstLine="0"/>
                    <w:jc w:val="left"/>
                  </w:pPr>
                  <w:r>
                    <w:rPr>
                      <w:rFonts w:ascii="Calibri" w:eastAsia="Calibri" w:hAnsi="Calibri" w:cs="Calibri"/>
                      <w:sz w:val="14"/>
                    </w:rPr>
                    <w:t>0·83</w:t>
                  </w:r>
                </w:p>
              </w:tc>
              <w:tc>
                <w:tcPr>
                  <w:tcW w:w="805" w:type="dxa"/>
                  <w:tcBorders>
                    <w:top w:val="nil"/>
                    <w:left w:val="nil"/>
                    <w:bottom w:val="nil"/>
                    <w:right w:val="nil"/>
                  </w:tcBorders>
                </w:tcPr>
                <w:p w:rsidR="00283279" w:rsidRDefault="003F719C">
                  <w:pPr>
                    <w:spacing w:after="0" w:line="259" w:lineRule="auto"/>
                    <w:ind w:left="11" w:right="0" w:firstLine="0"/>
                    <w:jc w:val="left"/>
                  </w:pPr>
                  <w:r>
                    <w:rPr>
                      <w:rFonts w:ascii="Calibri" w:eastAsia="Calibri" w:hAnsi="Calibri" w:cs="Calibri"/>
                      <w:sz w:val="14"/>
                    </w:rPr>
                    <w:t>0·85</w:t>
                  </w:r>
                </w:p>
              </w:tc>
              <w:tc>
                <w:tcPr>
                  <w:tcW w:w="692" w:type="dxa"/>
                  <w:tcBorders>
                    <w:top w:val="nil"/>
                    <w:left w:val="nil"/>
                    <w:bottom w:val="nil"/>
                    <w:right w:val="nil"/>
                  </w:tcBorders>
                </w:tcPr>
                <w:p w:rsidR="00283279" w:rsidRDefault="003F719C">
                  <w:pPr>
                    <w:spacing w:after="0" w:line="259" w:lineRule="auto"/>
                    <w:ind w:left="31" w:right="0" w:firstLine="0"/>
                    <w:jc w:val="left"/>
                  </w:pPr>
                  <w:r>
                    <w:rPr>
                      <w:rFonts w:ascii="Calibri" w:eastAsia="Calibri" w:hAnsi="Calibri" w:cs="Calibri"/>
                      <w:sz w:val="14"/>
                    </w:rPr>
                    <w:t>0·26</w:t>
                  </w:r>
                </w:p>
              </w:tc>
            </w:tr>
            <w:tr w:rsidR="00283279">
              <w:trPr>
                <w:trHeight w:val="226"/>
              </w:trPr>
              <w:tc>
                <w:tcPr>
                  <w:tcW w:w="1673" w:type="dxa"/>
                  <w:tcBorders>
                    <w:top w:val="nil"/>
                    <w:left w:val="nil"/>
                    <w:bottom w:val="nil"/>
                    <w:right w:val="nil"/>
                  </w:tcBorders>
                  <w:shd w:val="clear" w:color="auto" w:fill="FFFEFD"/>
                </w:tcPr>
                <w:p w:rsidR="00283279" w:rsidRDefault="003F719C">
                  <w:pPr>
                    <w:spacing w:after="0" w:line="259" w:lineRule="auto"/>
                    <w:ind w:left="57" w:right="0" w:firstLine="0"/>
                    <w:jc w:val="left"/>
                  </w:pPr>
                  <w:r>
                    <w:rPr>
                      <w:rFonts w:ascii="Calibri" w:eastAsia="Calibri" w:hAnsi="Calibri" w:cs="Calibri"/>
                      <w:sz w:val="14"/>
                    </w:rPr>
                    <w:t>Miami-Dade, FL (12086)</w:t>
                  </w:r>
                </w:p>
              </w:tc>
              <w:tc>
                <w:tcPr>
                  <w:tcW w:w="873" w:type="dxa"/>
                  <w:tcBorders>
                    <w:top w:val="nil"/>
                    <w:left w:val="nil"/>
                    <w:bottom w:val="nil"/>
                    <w:right w:val="nil"/>
                  </w:tcBorders>
                  <w:shd w:val="clear" w:color="auto" w:fill="FFFEFD"/>
                </w:tcPr>
                <w:p w:rsidR="00283279" w:rsidRDefault="003F719C">
                  <w:pPr>
                    <w:spacing w:after="0" w:line="259" w:lineRule="auto"/>
                    <w:ind w:left="11" w:right="0" w:firstLine="0"/>
                    <w:jc w:val="left"/>
                  </w:pPr>
                  <w:r>
                    <w:rPr>
                      <w:rFonts w:ascii="Calibri" w:eastAsia="Calibri" w:hAnsi="Calibri" w:cs="Calibri"/>
                      <w:sz w:val="14"/>
                    </w:rPr>
                    <w:t>0·83</w:t>
                  </w:r>
                </w:p>
              </w:tc>
              <w:tc>
                <w:tcPr>
                  <w:tcW w:w="805" w:type="dxa"/>
                  <w:tcBorders>
                    <w:top w:val="nil"/>
                    <w:left w:val="nil"/>
                    <w:bottom w:val="nil"/>
                    <w:right w:val="nil"/>
                  </w:tcBorders>
                  <w:shd w:val="clear" w:color="auto" w:fill="FFFEFD"/>
                </w:tcPr>
                <w:p w:rsidR="00283279" w:rsidRDefault="003F719C">
                  <w:pPr>
                    <w:spacing w:after="0" w:line="259" w:lineRule="auto"/>
                    <w:ind w:left="11" w:right="0" w:firstLine="0"/>
                    <w:jc w:val="left"/>
                  </w:pPr>
                  <w:r>
                    <w:rPr>
                      <w:rFonts w:ascii="Calibri" w:eastAsia="Calibri" w:hAnsi="Calibri" w:cs="Calibri"/>
                      <w:sz w:val="14"/>
                    </w:rPr>
                    <w:t>0·86</w:t>
                  </w:r>
                </w:p>
              </w:tc>
              <w:tc>
                <w:tcPr>
                  <w:tcW w:w="692" w:type="dxa"/>
                  <w:tcBorders>
                    <w:top w:val="nil"/>
                    <w:left w:val="nil"/>
                    <w:bottom w:val="nil"/>
                    <w:right w:val="nil"/>
                  </w:tcBorders>
                  <w:shd w:val="clear" w:color="auto" w:fill="FFFEFD"/>
                </w:tcPr>
                <w:p w:rsidR="00283279" w:rsidRDefault="003F719C">
                  <w:pPr>
                    <w:spacing w:after="0" w:line="259" w:lineRule="auto"/>
                    <w:ind w:left="31" w:right="0" w:firstLine="0"/>
                    <w:jc w:val="left"/>
                  </w:pPr>
                  <w:r>
                    <w:rPr>
                      <w:rFonts w:ascii="Calibri" w:eastAsia="Calibri" w:hAnsi="Calibri" w:cs="Calibri"/>
                      <w:sz w:val="14"/>
                    </w:rPr>
                    <w:t>0·28</w:t>
                  </w:r>
                </w:p>
              </w:tc>
            </w:tr>
            <w:tr w:rsidR="00283279">
              <w:trPr>
                <w:trHeight w:val="226"/>
              </w:trPr>
              <w:tc>
                <w:tcPr>
                  <w:tcW w:w="1673" w:type="dxa"/>
                  <w:tcBorders>
                    <w:top w:val="nil"/>
                    <w:left w:val="nil"/>
                    <w:bottom w:val="nil"/>
                    <w:right w:val="nil"/>
                  </w:tcBorders>
                </w:tcPr>
                <w:p w:rsidR="00283279" w:rsidRDefault="003F719C">
                  <w:pPr>
                    <w:spacing w:after="0" w:line="259" w:lineRule="auto"/>
                    <w:ind w:left="57" w:right="0" w:firstLine="0"/>
                    <w:jc w:val="left"/>
                  </w:pPr>
                  <w:r>
                    <w:rPr>
                      <w:rFonts w:ascii="Calibri" w:eastAsia="Calibri" w:hAnsi="Calibri" w:cs="Calibri"/>
                      <w:sz w:val="14"/>
                    </w:rPr>
                    <w:t>Bergen, NJ (34003)</w:t>
                  </w:r>
                </w:p>
              </w:tc>
              <w:tc>
                <w:tcPr>
                  <w:tcW w:w="873" w:type="dxa"/>
                  <w:tcBorders>
                    <w:top w:val="nil"/>
                    <w:left w:val="nil"/>
                    <w:bottom w:val="nil"/>
                    <w:right w:val="nil"/>
                  </w:tcBorders>
                </w:tcPr>
                <w:p w:rsidR="00283279" w:rsidRDefault="003F719C">
                  <w:pPr>
                    <w:spacing w:after="0" w:line="259" w:lineRule="auto"/>
                    <w:ind w:left="11" w:right="0" w:firstLine="0"/>
                    <w:jc w:val="left"/>
                  </w:pPr>
                  <w:r>
                    <w:rPr>
                      <w:rFonts w:ascii="Calibri" w:eastAsia="Calibri" w:hAnsi="Calibri" w:cs="Calibri"/>
                      <w:sz w:val="14"/>
                    </w:rPr>
                    <w:t>0·82</w:t>
                  </w:r>
                </w:p>
              </w:tc>
              <w:tc>
                <w:tcPr>
                  <w:tcW w:w="805" w:type="dxa"/>
                  <w:tcBorders>
                    <w:top w:val="nil"/>
                    <w:left w:val="nil"/>
                    <w:bottom w:val="nil"/>
                    <w:right w:val="nil"/>
                  </w:tcBorders>
                </w:tcPr>
                <w:p w:rsidR="00283279" w:rsidRDefault="003F719C">
                  <w:pPr>
                    <w:spacing w:after="0" w:line="259" w:lineRule="auto"/>
                    <w:ind w:left="11" w:right="0" w:firstLine="0"/>
                    <w:jc w:val="left"/>
                  </w:pPr>
                  <w:r>
                    <w:rPr>
                      <w:rFonts w:ascii="Calibri" w:eastAsia="Calibri" w:hAnsi="Calibri" w:cs="Calibri"/>
                      <w:sz w:val="14"/>
                    </w:rPr>
                    <w:t>0·87</w:t>
                  </w:r>
                </w:p>
              </w:tc>
              <w:tc>
                <w:tcPr>
                  <w:tcW w:w="692" w:type="dxa"/>
                  <w:tcBorders>
                    <w:top w:val="nil"/>
                    <w:left w:val="nil"/>
                    <w:bottom w:val="nil"/>
                    <w:right w:val="nil"/>
                  </w:tcBorders>
                </w:tcPr>
                <w:p w:rsidR="00283279" w:rsidRDefault="003F719C">
                  <w:pPr>
                    <w:spacing w:after="0" w:line="259" w:lineRule="auto"/>
                    <w:ind w:left="31" w:right="0" w:firstLine="0"/>
                    <w:jc w:val="left"/>
                  </w:pPr>
                  <w:r>
                    <w:rPr>
                      <w:rFonts w:ascii="Calibri" w:eastAsia="Calibri" w:hAnsi="Calibri" w:cs="Calibri"/>
                      <w:sz w:val="14"/>
                    </w:rPr>
                    <w:t>0·24</w:t>
                  </w:r>
                </w:p>
              </w:tc>
            </w:tr>
            <w:tr w:rsidR="00283279">
              <w:trPr>
                <w:trHeight w:val="226"/>
              </w:trPr>
              <w:tc>
                <w:tcPr>
                  <w:tcW w:w="1673" w:type="dxa"/>
                  <w:tcBorders>
                    <w:top w:val="nil"/>
                    <w:left w:val="nil"/>
                    <w:bottom w:val="nil"/>
                    <w:right w:val="nil"/>
                  </w:tcBorders>
                  <w:shd w:val="clear" w:color="auto" w:fill="FFFEFD"/>
                </w:tcPr>
                <w:p w:rsidR="00283279" w:rsidRDefault="003F719C">
                  <w:pPr>
                    <w:spacing w:after="0" w:line="259" w:lineRule="auto"/>
                    <w:ind w:left="57" w:right="0" w:firstLine="0"/>
                    <w:jc w:val="left"/>
                  </w:pPr>
                  <w:r>
                    <w:rPr>
                      <w:rFonts w:ascii="Calibri" w:eastAsia="Calibri" w:hAnsi="Calibri" w:cs="Calibri"/>
                      <w:sz w:val="14"/>
                    </w:rPr>
                    <w:t>Passaic, NJ (34031)</w:t>
                  </w:r>
                </w:p>
              </w:tc>
              <w:tc>
                <w:tcPr>
                  <w:tcW w:w="873" w:type="dxa"/>
                  <w:tcBorders>
                    <w:top w:val="nil"/>
                    <w:left w:val="nil"/>
                    <w:bottom w:val="nil"/>
                    <w:right w:val="nil"/>
                  </w:tcBorders>
                  <w:shd w:val="clear" w:color="auto" w:fill="FFFEFD"/>
                </w:tcPr>
                <w:p w:rsidR="00283279" w:rsidRDefault="003F719C">
                  <w:pPr>
                    <w:spacing w:after="0" w:line="259" w:lineRule="auto"/>
                    <w:ind w:left="11" w:right="0" w:firstLine="0"/>
                    <w:jc w:val="left"/>
                  </w:pPr>
                  <w:r>
                    <w:rPr>
                      <w:rFonts w:ascii="Calibri" w:eastAsia="Calibri" w:hAnsi="Calibri" w:cs="Calibri"/>
                      <w:sz w:val="14"/>
                    </w:rPr>
                    <w:t>0·81</w:t>
                  </w:r>
                </w:p>
              </w:tc>
              <w:tc>
                <w:tcPr>
                  <w:tcW w:w="805" w:type="dxa"/>
                  <w:tcBorders>
                    <w:top w:val="nil"/>
                    <w:left w:val="nil"/>
                    <w:bottom w:val="nil"/>
                    <w:right w:val="nil"/>
                  </w:tcBorders>
                  <w:shd w:val="clear" w:color="auto" w:fill="FFFEFD"/>
                </w:tcPr>
                <w:p w:rsidR="00283279" w:rsidRDefault="003F719C">
                  <w:pPr>
                    <w:spacing w:after="0" w:line="259" w:lineRule="auto"/>
                    <w:ind w:left="11" w:right="0" w:firstLine="0"/>
                    <w:jc w:val="left"/>
                  </w:pPr>
                  <w:r>
                    <w:rPr>
                      <w:rFonts w:ascii="Calibri" w:eastAsia="Calibri" w:hAnsi="Calibri" w:cs="Calibri"/>
                      <w:sz w:val="14"/>
                    </w:rPr>
                    <w:t>0·87</w:t>
                  </w:r>
                </w:p>
              </w:tc>
              <w:tc>
                <w:tcPr>
                  <w:tcW w:w="692" w:type="dxa"/>
                  <w:tcBorders>
                    <w:top w:val="nil"/>
                    <w:left w:val="nil"/>
                    <w:bottom w:val="nil"/>
                    <w:right w:val="nil"/>
                  </w:tcBorders>
                  <w:shd w:val="clear" w:color="auto" w:fill="FFFEFD"/>
                </w:tcPr>
                <w:p w:rsidR="00283279" w:rsidRDefault="003F719C">
                  <w:pPr>
                    <w:spacing w:after="0" w:line="259" w:lineRule="auto"/>
                    <w:ind w:left="31" w:right="0" w:firstLine="0"/>
                    <w:jc w:val="left"/>
                  </w:pPr>
                  <w:r>
                    <w:rPr>
                      <w:rFonts w:ascii="Calibri" w:eastAsia="Calibri" w:hAnsi="Calibri" w:cs="Calibri"/>
                      <w:sz w:val="14"/>
                    </w:rPr>
                    <w:t>0·26</w:t>
                  </w:r>
                </w:p>
              </w:tc>
            </w:tr>
            <w:tr w:rsidR="00283279">
              <w:trPr>
                <w:trHeight w:val="226"/>
              </w:trPr>
              <w:tc>
                <w:tcPr>
                  <w:tcW w:w="1673" w:type="dxa"/>
                  <w:tcBorders>
                    <w:top w:val="nil"/>
                    <w:left w:val="nil"/>
                    <w:bottom w:val="nil"/>
                    <w:right w:val="nil"/>
                  </w:tcBorders>
                </w:tcPr>
                <w:p w:rsidR="00283279" w:rsidRDefault="003F719C">
                  <w:pPr>
                    <w:spacing w:after="0" w:line="259" w:lineRule="auto"/>
                    <w:ind w:left="57" w:right="0" w:firstLine="0"/>
                    <w:jc w:val="left"/>
                  </w:pPr>
                  <w:r>
                    <w:rPr>
                      <w:rFonts w:ascii="Calibri" w:eastAsia="Calibri" w:hAnsi="Calibri" w:cs="Calibri"/>
                      <w:sz w:val="14"/>
                    </w:rPr>
                    <w:t>Suffolk, MA (25025)</w:t>
                  </w:r>
                </w:p>
              </w:tc>
              <w:tc>
                <w:tcPr>
                  <w:tcW w:w="873" w:type="dxa"/>
                  <w:tcBorders>
                    <w:top w:val="nil"/>
                    <w:left w:val="nil"/>
                    <w:bottom w:val="nil"/>
                    <w:right w:val="nil"/>
                  </w:tcBorders>
                </w:tcPr>
                <w:p w:rsidR="00283279" w:rsidRDefault="003F719C">
                  <w:pPr>
                    <w:spacing w:after="0" w:line="259" w:lineRule="auto"/>
                    <w:ind w:left="11" w:right="0" w:firstLine="0"/>
                    <w:jc w:val="left"/>
                  </w:pPr>
                  <w:r>
                    <w:rPr>
                      <w:rFonts w:ascii="Calibri" w:eastAsia="Calibri" w:hAnsi="Calibri" w:cs="Calibri"/>
                      <w:sz w:val="14"/>
                    </w:rPr>
                    <w:t>0·81</w:t>
                  </w:r>
                </w:p>
              </w:tc>
              <w:tc>
                <w:tcPr>
                  <w:tcW w:w="805" w:type="dxa"/>
                  <w:tcBorders>
                    <w:top w:val="nil"/>
                    <w:left w:val="nil"/>
                    <w:bottom w:val="nil"/>
                    <w:right w:val="nil"/>
                  </w:tcBorders>
                </w:tcPr>
                <w:p w:rsidR="00283279" w:rsidRDefault="003F719C">
                  <w:pPr>
                    <w:spacing w:after="0" w:line="259" w:lineRule="auto"/>
                    <w:ind w:left="11" w:right="0" w:firstLine="0"/>
                    <w:jc w:val="left"/>
                  </w:pPr>
                  <w:r>
                    <w:rPr>
                      <w:rFonts w:ascii="Calibri" w:eastAsia="Calibri" w:hAnsi="Calibri" w:cs="Calibri"/>
                      <w:sz w:val="14"/>
                    </w:rPr>
                    <w:t>0·90</w:t>
                  </w:r>
                </w:p>
              </w:tc>
              <w:tc>
                <w:tcPr>
                  <w:tcW w:w="692" w:type="dxa"/>
                  <w:tcBorders>
                    <w:top w:val="nil"/>
                    <w:left w:val="nil"/>
                    <w:bottom w:val="nil"/>
                    <w:right w:val="nil"/>
                  </w:tcBorders>
                </w:tcPr>
                <w:p w:rsidR="00283279" w:rsidRDefault="003F719C">
                  <w:pPr>
                    <w:spacing w:after="0" w:line="259" w:lineRule="auto"/>
                    <w:ind w:left="31" w:right="0" w:firstLine="0"/>
                    <w:jc w:val="left"/>
                  </w:pPr>
                  <w:r>
                    <w:rPr>
                      <w:rFonts w:ascii="Calibri" w:eastAsia="Calibri" w:hAnsi="Calibri" w:cs="Calibri"/>
                      <w:sz w:val="14"/>
                    </w:rPr>
                    <w:t>0·27</w:t>
                  </w:r>
                </w:p>
              </w:tc>
            </w:tr>
            <w:tr w:rsidR="00283279">
              <w:trPr>
                <w:trHeight w:val="226"/>
              </w:trPr>
              <w:tc>
                <w:tcPr>
                  <w:tcW w:w="1673" w:type="dxa"/>
                  <w:tcBorders>
                    <w:top w:val="nil"/>
                    <w:left w:val="nil"/>
                    <w:bottom w:val="nil"/>
                    <w:right w:val="nil"/>
                  </w:tcBorders>
                  <w:shd w:val="clear" w:color="auto" w:fill="FFFEFD"/>
                </w:tcPr>
                <w:p w:rsidR="00283279" w:rsidRDefault="003F719C">
                  <w:pPr>
                    <w:spacing w:after="0" w:line="259" w:lineRule="auto"/>
                    <w:ind w:left="57" w:right="0" w:firstLine="0"/>
                    <w:jc w:val="left"/>
                  </w:pPr>
                  <w:r>
                    <w:rPr>
                      <w:rFonts w:ascii="Calibri" w:eastAsia="Calibri" w:hAnsi="Calibri" w:cs="Calibri"/>
                      <w:sz w:val="14"/>
                    </w:rPr>
                    <w:t>Philadelphia, PA (42101)</w:t>
                  </w:r>
                </w:p>
              </w:tc>
              <w:tc>
                <w:tcPr>
                  <w:tcW w:w="873" w:type="dxa"/>
                  <w:tcBorders>
                    <w:top w:val="nil"/>
                    <w:left w:val="nil"/>
                    <w:bottom w:val="nil"/>
                    <w:right w:val="nil"/>
                  </w:tcBorders>
                  <w:shd w:val="clear" w:color="auto" w:fill="FFFEFD"/>
                </w:tcPr>
                <w:p w:rsidR="00283279" w:rsidRDefault="003F719C">
                  <w:pPr>
                    <w:spacing w:after="0" w:line="259" w:lineRule="auto"/>
                    <w:ind w:left="11" w:right="0" w:firstLine="0"/>
                    <w:jc w:val="left"/>
                  </w:pPr>
                  <w:r>
                    <w:rPr>
                      <w:rFonts w:ascii="Calibri" w:eastAsia="Calibri" w:hAnsi="Calibri" w:cs="Calibri"/>
                      <w:sz w:val="14"/>
                    </w:rPr>
                    <w:t>0·80</w:t>
                  </w:r>
                </w:p>
              </w:tc>
              <w:tc>
                <w:tcPr>
                  <w:tcW w:w="805" w:type="dxa"/>
                  <w:tcBorders>
                    <w:top w:val="nil"/>
                    <w:left w:val="nil"/>
                    <w:bottom w:val="nil"/>
                    <w:right w:val="nil"/>
                  </w:tcBorders>
                  <w:shd w:val="clear" w:color="auto" w:fill="FFFEFD"/>
                </w:tcPr>
                <w:p w:rsidR="00283279" w:rsidRDefault="003F719C">
                  <w:pPr>
                    <w:spacing w:after="0" w:line="259" w:lineRule="auto"/>
                    <w:ind w:left="11" w:right="0" w:firstLine="0"/>
                    <w:jc w:val="left"/>
                  </w:pPr>
                  <w:r>
                    <w:rPr>
                      <w:rFonts w:ascii="Calibri" w:eastAsia="Calibri" w:hAnsi="Calibri" w:cs="Calibri"/>
                      <w:sz w:val="14"/>
                    </w:rPr>
                    <w:t>0·84</w:t>
                  </w:r>
                </w:p>
              </w:tc>
              <w:tc>
                <w:tcPr>
                  <w:tcW w:w="692" w:type="dxa"/>
                  <w:tcBorders>
                    <w:top w:val="nil"/>
                    <w:left w:val="nil"/>
                    <w:bottom w:val="nil"/>
                    <w:right w:val="nil"/>
                  </w:tcBorders>
                  <w:shd w:val="clear" w:color="auto" w:fill="FFFEFD"/>
                </w:tcPr>
                <w:p w:rsidR="00283279" w:rsidRDefault="003F719C">
                  <w:pPr>
                    <w:spacing w:after="0" w:line="259" w:lineRule="auto"/>
                    <w:ind w:left="31" w:right="0" w:firstLine="0"/>
                    <w:jc w:val="left"/>
                  </w:pPr>
                  <w:r>
                    <w:rPr>
                      <w:rFonts w:ascii="Calibri" w:eastAsia="Calibri" w:hAnsi="Calibri" w:cs="Calibri"/>
                      <w:sz w:val="14"/>
                    </w:rPr>
                    <w:t>0·33</w:t>
                  </w:r>
                </w:p>
              </w:tc>
            </w:tr>
            <w:tr w:rsidR="00283279">
              <w:trPr>
                <w:trHeight w:val="226"/>
              </w:trPr>
              <w:tc>
                <w:tcPr>
                  <w:tcW w:w="1673" w:type="dxa"/>
                  <w:tcBorders>
                    <w:top w:val="nil"/>
                    <w:left w:val="nil"/>
                    <w:bottom w:val="nil"/>
                    <w:right w:val="nil"/>
                  </w:tcBorders>
                </w:tcPr>
                <w:p w:rsidR="00283279" w:rsidRDefault="003F719C">
                  <w:pPr>
                    <w:spacing w:after="0" w:line="259" w:lineRule="auto"/>
                    <w:ind w:left="57" w:right="0" w:firstLine="0"/>
                    <w:jc w:val="left"/>
                  </w:pPr>
                  <w:r>
                    <w:rPr>
                      <w:rFonts w:ascii="Calibri" w:eastAsia="Calibri" w:hAnsi="Calibri" w:cs="Calibri"/>
                      <w:sz w:val="14"/>
                    </w:rPr>
                    <w:t>Wayne, MI (26163)</w:t>
                  </w:r>
                </w:p>
              </w:tc>
              <w:tc>
                <w:tcPr>
                  <w:tcW w:w="873" w:type="dxa"/>
                  <w:tcBorders>
                    <w:top w:val="nil"/>
                    <w:left w:val="nil"/>
                    <w:bottom w:val="nil"/>
                    <w:right w:val="nil"/>
                  </w:tcBorders>
                </w:tcPr>
                <w:p w:rsidR="00283279" w:rsidRDefault="003F719C">
                  <w:pPr>
                    <w:spacing w:after="0" w:line="259" w:lineRule="auto"/>
                    <w:ind w:left="11" w:right="0" w:firstLine="0"/>
                    <w:jc w:val="left"/>
                  </w:pPr>
                  <w:r>
                    <w:rPr>
                      <w:rFonts w:ascii="Calibri" w:eastAsia="Calibri" w:hAnsi="Calibri" w:cs="Calibri"/>
                      <w:sz w:val="14"/>
                    </w:rPr>
                    <w:t>0·80</w:t>
                  </w:r>
                </w:p>
              </w:tc>
              <w:tc>
                <w:tcPr>
                  <w:tcW w:w="805" w:type="dxa"/>
                  <w:tcBorders>
                    <w:top w:val="nil"/>
                    <w:left w:val="nil"/>
                    <w:bottom w:val="nil"/>
                    <w:right w:val="nil"/>
                  </w:tcBorders>
                </w:tcPr>
                <w:p w:rsidR="00283279" w:rsidRDefault="003F719C">
                  <w:pPr>
                    <w:spacing w:after="0" w:line="259" w:lineRule="auto"/>
                    <w:ind w:left="11" w:right="0" w:firstLine="0"/>
                    <w:jc w:val="left"/>
                  </w:pPr>
                  <w:r>
                    <w:rPr>
                      <w:rFonts w:ascii="Calibri" w:eastAsia="Calibri" w:hAnsi="Calibri" w:cs="Calibri"/>
                      <w:sz w:val="14"/>
                    </w:rPr>
                    <w:t>0·82</w:t>
                  </w:r>
                </w:p>
              </w:tc>
              <w:tc>
                <w:tcPr>
                  <w:tcW w:w="692" w:type="dxa"/>
                  <w:tcBorders>
                    <w:top w:val="nil"/>
                    <w:left w:val="nil"/>
                    <w:bottom w:val="nil"/>
                    <w:right w:val="nil"/>
                  </w:tcBorders>
                </w:tcPr>
                <w:p w:rsidR="00283279" w:rsidRDefault="003F719C">
                  <w:pPr>
                    <w:spacing w:after="0" w:line="259" w:lineRule="auto"/>
                    <w:ind w:left="31" w:right="0" w:firstLine="0"/>
                    <w:jc w:val="left"/>
                  </w:pPr>
                  <w:r>
                    <w:rPr>
                      <w:rFonts w:ascii="Calibri" w:eastAsia="Calibri" w:hAnsi="Calibri" w:cs="Calibri"/>
                      <w:sz w:val="14"/>
                    </w:rPr>
                    <w:t>0·32</w:t>
                  </w:r>
                </w:p>
              </w:tc>
            </w:tr>
            <w:tr w:rsidR="00283279">
              <w:trPr>
                <w:trHeight w:val="226"/>
              </w:trPr>
              <w:tc>
                <w:tcPr>
                  <w:tcW w:w="1673" w:type="dxa"/>
                  <w:tcBorders>
                    <w:top w:val="nil"/>
                    <w:left w:val="nil"/>
                    <w:bottom w:val="nil"/>
                    <w:right w:val="nil"/>
                  </w:tcBorders>
                  <w:shd w:val="clear" w:color="auto" w:fill="FFFEFD"/>
                </w:tcPr>
                <w:p w:rsidR="00283279" w:rsidRDefault="003F719C">
                  <w:pPr>
                    <w:spacing w:after="0" w:line="259" w:lineRule="auto"/>
                    <w:ind w:left="57" w:right="0" w:firstLine="0"/>
                    <w:jc w:val="left"/>
                  </w:pPr>
                  <w:r>
                    <w:rPr>
                      <w:rFonts w:ascii="Calibri" w:eastAsia="Calibri" w:hAnsi="Calibri" w:cs="Calibri"/>
                      <w:sz w:val="14"/>
                    </w:rPr>
                    <w:t>Westchester, NY (36119)</w:t>
                  </w:r>
                </w:p>
              </w:tc>
              <w:tc>
                <w:tcPr>
                  <w:tcW w:w="873" w:type="dxa"/>
                  <w:tcBorders>
                    <w:top w:val="nil"/>
                    <w:left w:val="nil"/>
                    <w:bottom w:val="nil"/>
                    <w:right w:val="nil"/>
                  </w:tcBorders>
                  <w:shd w:val="clear" w:color="auto" w:fill="FFFEFD"/>
                </w:tcPr>
                <w:p w:rsidR="00283279" w:rsidRDefault="003F719C">
                  <w:pPr>
                    <w:spacing w:after="0" w:line="259" w:lineRule="auto"/>
                    <w:ind w:left="11" w:right="0" w:firstLine="0"/>
                    <w:jc w:val="left"/>
                  </w:pPr>
                  <w:r>
                    <w:rPr>
                      <w:rFonts w:ascii="Calibri" w:eastAsia="Calibri" w:hAnsi="Calibri" w:cs="Calibri"/>
                      <w:sz w:val="14"/>
                    </w:rPr>
                    <w:t>0·80</w:t>
                  </w:r>
                </w:p>
              </w:tc>
              <w:tc>
                <w:tcPr>
                  <w:tcW w:w="805" w:type="dxa"/>
                  <w:tcBorders>
                    <w:top w:val="nil"/>
                    <w:left w:val="nil"/>
                    <w:bottom w:val="nil"/>
                    <w:right w:val="nil"/>
                  </w:tcBorders>
                  <w:shd w:val="clear" w:color="auto" w:fill="FFFEFD"/>
                </w:tcPr>
                <w:p w:rsidR="00283279" w:rsidRDefault="003F719C">
                  <w:pPr>
                    <w:spacing w:after="0" w:line="259" w:lineRule="auto"/>
                    <w:ind w:left="11" w:right="0" w:firstLine="0"/>
                    <w:jc w:val="left"/>
                  </w:pPr>
                  <w:r>
                    <w:rPr>
                      <w:rFonts w:ascii="Calibri" w:eastAsia="Calibri" w:hAnsi="Calibri" w:cs="Calibri"/>
                      <w:sz w:val="14"/>
                    </w:rPr>
                    <w:t>0·88</w:t>
                  </w:r>
                </w:p>
              </w:tc>
              <w:tc>
                <w:tcPr>
                  <w:tcW w:w="692" w:type="dxa"/>
                  <w:tcBorders>
                    <w:top w:val="nil"/>
                    <w:left w:val="nil"/>
                    <w:bottom w:val="nil"/>
                    <w:right w:val="nil"/>
                  </w:tcBorders>
                  <w:shd w:val="clear" w:color="auto" w:fill="FFFEFD"/>
                </w:tcPr>
                <w:p w:rsidR="00283279" w:rsidRDefault="003F719C">
                  <w:pPr>
                    <w:spacing w:after="0" w:line="259" w:lineRule="auto"/>
                    <w:ind w:left="31" w:right="0" w:firstLine="0"/>
                    <w:jc w:val="left"/>
                  </w:pPr>
                  <w:r>
                    <w:rPr>
                      <w:rFonts w:ascii="Calibri" w:eastAsia="Calibri" w:hAnsi="Calibri" w:cs="Calibri"/>
                      <w:sz w:val="14"/>
                    </w:rPr>
                    <w:t>0·22</w:t>
                  </w:r>
                </w:p>
              </w:tc>
            </w:tr>
            <w:tr w:rsidR="00283279">
              <w:trPr>
                <w:trHeight w:val="226"/>
              </w:trPr>
              <w:tc>
                <w:tcPr>
                  <w:tcW w:w="1673" w:type="dxa"/>
                  <w:tcBorders>
                    <w:top w:val="nil"/>
                    <w:left w:val="nil"/>
                    <w:bottom w:val="nil"/>
                    <w:right w:val="nil"/>
                  </w:tcBorders>
                </w:tcPr>
                <w:p w:rsidR="00283279" w:rsidRDefault="003F719C">
                  <w:pPr>
                    <w:spacing w:after="0" w:line="259" w:lineRule="auto"/>
                    <w:ind w:left="57" w:right="0" w:firstLine="0"/>
                    <w:jc w:val="left"/>
                  </w:pPr>
                  <w:r>
                    <w:rPr>
                      <w:rFonts w:ascii="Calibri" w:eastAsia="Calibri" w:hAnsi="Calibri" w:cs="Calibri"/>
                      <w:sz w:val="14"/>
                    </w:rPr>
                    <w:t>Monmouth, NJ (34025)</w:t>
                  </w:r>
                </w:p>
              </w:tc>
              <w:tc>
                <w:tcPr>
                  <w:tcW w:w="873" w:type="dxa"/>
                  <w:tcBorders>
                    <w:top w:val="nil"/>
                    <w:left w:val="nil"/>
                    <w:bottom w:val="nil"/>
                    <w:right w:val="nil"/>
                  </w:tcBorders>
                </w:tcPr>
                <w:p w:rsidR="00283279" w:rsidRDefault="003F719C">
                  <w:pPr>
                    <w:spacing w:after="0" w:line="259" w:lineRule="auto"/>
                    <w:ind w:left="11" w:right="0" w:firstLine="0"/>
                    <w:jc w:val="left"/>
                  </w:pPr>
                  <w:r>
                    <w:rPr>
                      <w:rFonts w:ascii="Calibri" w:eastAsia="Calibri" w:hAnsi="Calibri" w:cs="Calibri"/>
                      <w:sz w:val="14"/>
                    </w:rPr>
                    <w:t>0·76</w:t>
                  </w:r>
                </w:p>
              </w:tc>
              <w:tc>
                <w:tcPr>
                  <w:tcW w:w="805" w:type="dxa"/>
                  <w:tcBorders>
                    <w:top w:val="nil"/>
                    <w:left w:val="nil"/>
                    <w:bottom w:val="nil"/>
                    <w:right w:val="nil"/>
                  </w:tcBorders>
                </w:tcPr>
                <w:p w:rsidR="00283279" w:rsidRDefault="003F719C">
                  <w:pPr>
                    <w:spacing w:after="0" w:line="259" w:lineRule="auto"/>
                    <w:ind w:left="11" w:right="0" w:firstLine="0"/>
                    <w:jc w:val="left"/>
                  </w:pPr>
                  <w:r>
                    <w:rPr>
                      <w:rFonts w:ascii="Calibri" w:eastAsia="Calibri" w:hAnsi="Calibri" w:cs="Calibri"/>
                      <w:sz w:val="14"/>
                    </w:rPr>
                    <w:t>0·83</w:t>
                  </w:r>
                </w:p>
              </w:tc>
              <w:tc>
                <w:tcPr>
                  <w:tcW w:w="692" w:type="dxa"/>
                  <w:tcBorders>
                    <w:top w:val="nil"/>
                    <w:left w:val="nil"/>
                    <w:bottom w:val="nil"/>
                    <w:right w:val="nil"/>
                  </w:tcBorders>
                </w:tcPr>
                <w:p w:rsidR="00283279" w:rsidRDefault="003F719C">
                  <w:pPr>
                    <w:spacing w:after="0" w:line="259" w:lineRule="auto"/>
                    <w:ind w:left="31" w:right="0" w:firstLine="0"/>
                    <w:jc w:val="left"/>
                  </w:pPr>
                  <w:r>
                    <w:rPr>
                      <w:rFonts w:ascii="Calibri" w:eastAsia="Calibri" w:hAnsi="Calibri" w:cs="Calibri"/>
                      <w:sz w:val="14"/>
                    </w:rPr>
                    <w:t>0·28</w:t>
                  </w:r>
                </w:p>
              </w:tc>
            </w:tr>
            <w:tr w:rsidR="00283279">
              <w:trPr>
                <w:trHeight w:val="226"/>
              </w:trPr>
              <w:tc>
                <w:tcPr>
                  <w:tcW w:w="1673" w:type="dxa"/>
                  <w:tcBorders>
                    <w:top w:val="nil"/>
                    <w:left w:val="nil"/>
                    <w:bottom w:val="nil"/>
                    <w:right w:val="nil"/>
                  </w:tcBorders>
                  <w:shd w:val="clear" w:color="auto" w:fill="FFFEFD"/>
                </w:tcPr>
                <w:p w:rsidR="00283279" w:rsidRDefault="003F719C">
                  <w:pPr>
                    <w:spacing w:after="0" w:line="259" w:lineRule="auto"/>
                    <w:ind w:left="57" w:right="0" w:firstLine="0"/>
                    <w:jc w:val="left"/>
                  </w:pPr>
                  <w:r>
                    <w:rPr>
                      <w:rFonts w:ascii="Calibri" w:eastAsia="Calibri" w:hAnsi="Calibri" w:cs="Calibri"/>
                      <w:sz w:val="14"/>
                    </w:rPr>
                    <w:t>Rockland, NY (36087)</w:t>
                  </w:r>
                </w:p>
              </w:tc>
              <w:tc>
                <w:tcPr>
                  <w:tcW w:w="873" w:type="dxa"/>
                  <w:tcBorders>
                    <w:top w:val="nil"/>
                    <w:left w:val="nil"/>
                    <w:bottom w:val="nil"/>
                    <w:right w:val="nil"/>
                  </w:tcBorders>
                  <w:shd w:val="clear" w:color="auto" w:fill="FFFEFD"/>
                </w:tcPr>
                <w:p w:rsidR="00283279" w:rsidRDefault="003F719C">
                  <w:pPr>
                    <w:spacing w:after="0" w:line="259" w:lineRule="auto"/>
                    <w:ind w:left="11" w:right="0" w:firstLine="0"/>
                    <w:jc w:val="left"/>
                  </w:pPr>
                  <w:r>
                    <w:rPr>
                      <w:rFonts w:ascii="Calibri" w:eastAsia="Calibri" w:hAnsi="Calibri" w:cs="Calibri"/>
                      <w:sz w:val="14"/>
                    </w:rPr>
                    <w:t>0·74</w:t>
                  </w:r>
                </w:p>
              </w:tc>
              <w:tc>
                <w:tcPr>
                  <w:tcW w:w="805" w:type="dxa"/>
                  <w:tcBorders>
                    <w:top w:val="nil"/>
                    <w:left w:val="nil"/>
                    <w:bottom w:val="nil"/>
                    <w:right w:val="nil"/>
                  </w:tcBorders>
                  <w:shd w:val="clear" w:color="auto" w:fill="FFFEFD"/>
                </w:tcPr>
                <w:p w:rsidR="00283279" w:rsidRDefault="003F719C">
                  <w:pPr>
                    <w:spacing w:after="0" w:line="259" w:lineRule="auto"/>
                    <w:ind w:left="11" w:right="0" w:firstLine="0"/>
                    <w:jc w:val="left"/>
                  </w:pPr>
                  <w:r>
                    <w:rPr>
                      <w:rFonts w:ascii="Calibri" w:eastAsia="Calibri" w:hAnsi="Calibri" w:cs="Calibri"/>
                      <w:sz w:val="14"/>
                    </w:rPr>
                    <w:t>0·81</w:t>
                  </w:r>
                </w:p>
              </w:tc>
              <w:tc>
                <w:tcPr>
                  <w:tcW w:w="692" w:type="dxa"/>
                  <w:tcBorders>
                    <w:top w:val="nil"/>
                    <w:left w:val="nil"/>
                    <w:bottom w:val="nil"/>
                    <w:right w:val="nil"/>
                  </w:tcBorders>
                  <w:shd w:val="clear" w:color="auto" w:fill="FFFEFD"/>
                </w:tcPr>
                <w:p w:rsidR="00283279" w:rsidRDefault="003F719C">
                  <w:pPr>
                    <w:spacing w:after="0" w:line="259" w:lineRule="auto"/>
                    <w:ind w:left="31" w:right="0" w:firstLine="0"/>
                    <w:jc w:val="left"/>
                  </w:pPr>
                  <w:r>
                    <w:rPr>
                      <w:rFonts w:ascii="Calibri" w:eastAsia="Calibri" w:hAnsi="Calibri" w:cs="Calibri"/>
                      <w:sz w:val="14"/>
                    </w:rPr>
                    <w:t>0·36</w:t>
                  </w:r>
                </w:p>
              </w:tc>
            </w:tr>
            <w:tr w:rsidR="00283279">
              <w:trPr>
                <w:trHeight w:val="226"/>
              </w:trPr>
              <w:tc>
                <w:tcPr>
                  <w:tcW w:w="1673" w:type="dxa"/>
                  <w:tcBorders>
                    <w:top w:val="nil"/>
                    <w:left w:val="nil"/>
                    <w:bottom w:val="nil"/>
                    <w:right w:val="nil"/>
                  </w:tcBorders>
                </w:tcPr>
                <w:p w:rsidR="00283279" w:rsidRDefault="003F719C">
                  <w:pPr>
                    <w:spacing w:after="0" w:line="259" w:lineRule="auto"/>
                    <w:ind w:left="57" w:right="0" w:firstLine="0"/>
                    <w:jc w:val="left"/>
                  </w:pPr>
                  <w:r>
                    <w:rPr>
                      <w:rFonts w:ascii="Calibri" w:eastAsia="Calibri" w:hAnsi="Calibri" w:cs="Calibri"/>
                      <w:sz w:val="14"/>
                    </w:rPr>
                    <w:t>Jefferson, LA (22051)</w:t>
                  </w:r>
                </w:p>
              </w:tc>
              <w:tc>
                <w:tcPr>
                  <w:tcW w:w="873" w:type="dxa"/>
                  <w:tcBorders>
                    <w:top w:val="nil"/>
                    <w:left w:val="nil"/>
                    <w:bottom w:val="nil"/>
                    <w:right w:val="nil"/>
                  </w:tcBorders>
                </w:tcPr>
                <w:p w:rsidR="00283279" w:rsidRDefault="003F719C">
                  <w:pPr>
                    <w:spacing w:after="0" w:line="259" w:lineRule="auto"/>
                    <w:ind w:left="11" w:right="0" w:firstLine="0"/>
                    <w:jc w:val="left"/>
                  </w:pPr>
                  <w:r>
                    <w:rPr>
                      <w:rFonts w:ascii="Calibri" w:eastAsia="Calibri" w:hAnsi="Calibri" w:cs="Calibri"/>
                      <w:sz w:val="14"/>
                    </w:rPr>
                    <w:t>0·71</w:t>
                  </w:r>
                </w:p>
              </w:tc>
              <w:tc>
                <w:tcPr>
                  <w:tcW w:w="805" w:type="dxa"/>
                  <w:tcBorders>
                    <w:top w:val="nil"/>
                    <w:left w:val="nil"/>
                    <w:bottom w:val="nil"/>
                    <w:right w:val="nil"/>
                  </w:tcBorders>
                </w:tcPr>
                <w:p w:rsidR="00283279" w:rsidRDefault="003F719C">
                  <w:pPr>
                    <w:spacing w:after="0" w:line="259" w:lineRule="auto"/>
                    <w:ind w:left="11" w:right="0" w:firstLine="0"/>
                    <w:jc w:val="left"/>
                  </w:pPr>
                  <w:r>
                    <w:rPr>
                      <w:rFonts w:ascii="Calibri" w:eastAsia="Calibri" w:hAnsi="Calibri" w:cs="Calibri"/>
                      <w:sz w:val="14"/>
                    </w:rPr>
                    <w:t>0·77</w:t>
                  </w:r>
                </w:p>
              </w:tc>
              <w:tc>
                <w:tcPr>
                  <w:tcW w:w="692" w:type="dxa"/>
                  <w:tcBorders>
                    <w:top w:val="nil"/>
                    <w:left w:val="nil"/>
                    <w:bottom w:val="nil"/>
                    <w:right w:val="nil"/>
                  </w:tcBorders>
                </w:tcPr>
                <w:p w:rsidR="00283279" w:rsidRDefault="003F719C">
                  <w:pPr>
                    <w:spacing w:after="0" w:line="259" w:lineRule="auto"/>
                    <w:ind w:left="31" w:right="0" w:firstLine="0"/>
                    <w:jc w:val="left"/>
                  </w:pPr>
                  <w:r>
                    <w:rPr>
                      <w:rFonts w:ascii="Calibri" w:eastAsia="Calibri" w:hAnsi="Calibri" w:cs="Calibri"/>
                      <w:sz w:val="14"/>
                    </w:rPr>
                    <w:t>0·38</w:t>
                  </w:r>
                </w:p>
              </w:tc>
            </w:tr>
            <w:tr w:rsidR="00283279">
              <w:trPr>
                <w:trHeight w:val="226"/>
              </w:trPr>
              <w:tc>
                <w:tcPr>
                  <w:tcW w:w="1673" w:type="dxa"/>
                  <w:tcBorders>
                    <w:top w:val="nil"/>
                    <w:left w:val="nil"/>
                    <w:bottom w:val="nil"/>
                    <w:right w:val="nil"/>
                  </w:tcBorders>
                  <w:shd w:val="clear" w:color="auto" w:fill="FFFEFD"/>
                </w:tcPr>
                <w:p w:rsidR="00283279" w:rsidRDefault="003F719C">
                  <w:pPr>
                    <w:spacing w:after="0" w:line="259" w:lineRule="auto"/>
                    <w:ind w:left="57" w:right="0" w:firstLine="0"/>
                    <w:jc w:val="left"/>
                  </w:pPr>
                  <w:r>
                    <w:rPr>
                      <w:rFonts w:ascii="Calibri" w:eastAsia="Calibri" w:hAnsi="Calibri" w:cs="Calibri"/>
                      <w:sz w:val="14"/>
                    </w:rPr>
                    <w:t>Oakland, MI (26125)</w:t>
                  </w:r>
                </w:p>
              </w:tc>
              <w:tc>
                <w:tcPr>
                  <w:tcW w:w="873" w:type="dxa"/>
                  <w:tcBorders>
                    <w:top w:val="nil"/>
                    <w:left w:val="nil"/>
                    <w:bottom w:val="nil"/>
                    <w:right w:val="nil"/>
                  </w:tcBorders>
                  <w:shd w:val="clear" w:color="auto" w:fill="FFFEFD"/>
                </w:tcPr>
                <w:p w:rsidR="00283279" w:rsidRDefault="003F719C">
                  <w:pPr>
                    <w:spacing w:after="0" w:line="259" w:lineRule="auto"/>
                    <w:ind w:left="11" w:right="0" w:firstLine="0"/>
                    <w:jc w:val="left"/>
                  </w:pPr>
                  <w:r>
                    <w:rPr>
                      <w:rFonts w:ascii="Calibri" w:eastAsia="Calibri" w:hAnsi="Calibri" w:cs="Calibri"/>
                      <w:sz w:val="14"/>
                    </w:rPr>
                    <w:t>0·71</w:t>
                  </w:r>
                </w:p>
              </w:tc>
              <w:tc>
                <w:tcPr>
                  <w:tcW w:w="805" w:type="dxa"/>
                  <w:tcBorders>
                    <w:top w:val="nil"/>
                    <w:left w:val="nil"/>
                    <w:bottom w:val="nil"/>
                    <w:right w:val="nil"/>
                  </w:tcBorders>
                  <w:shd w:val="clear" w:color="auto" w:fill="FFFEFD"/>
                </w:tcPr>
                <w:p w:rsidR="00283279" w:rsidRDefault="003F719C">
                  <w:pPr>
                    <w:spacing w:after="0" w:line="259" w:lineRule="auto"/>
                    <w:ind w:left="11" w:right="0" w:firstLine="0"/>
                    <w:jc w:val="left"/>
                  </w:pPr>
                  <w:r>
                    <w:rPr>
                      <w:rFonts w:ascii="Calibri" w:eastAsia="Calibri" w:hAnsi="Calibri" w:cs="Calibri"/>
                      <w:sz w:val="14"/>
                    </w:rPr>
                    <w:t>0·86</w:t>
                  </w:r>
                </w:p>
              </w:tc>
              <w:tc>
                <w:tcPr>
                  <w:tcW w:w="692" w:type="dxa"/>
                  <w:tcBorders>
                    <w:top w:val="nil"/>
                    <w:left w:val="nil"/>
                    <w:bottom w:val="nil"/>
                    <w:right w:val="nil"/>
                  </w:tcBorders>
                  <w:shd w:val="clear" w:color="auto" w:fill="FFFEFD"/>
                </w:tcPr>
                <w:p w:rsidR="00283279" w:rsidRDefault="003F719C">
                  <w:pPr>
                    <w:spacing w:after="0" w:line="259" w:lineRule="auto"/>
                    <w:ind w:left="31" w:right="0" w:firstLine="0"/>
                    <w:jc w:val="left"/>
                  </w:pPr>
                  <w:r>
                    <w:rPr>
                      <w:rFonts w:ascii="Calibri" w:eastAsia="Calibri" w:hAnsi="Calibri" w:cs="Calibri"/>
                      <w:sz w:val="14"/>
                    </w:rPr>
                    <w:t>0·27</w:t>
                  </w:r>
                </w:p>
              </w:tc>
            </w:tr>
            <w:tr w:rsidR="00283279">
              <w:trPr>
                <w:trHeight w:val="226"/>
              </w:trPr>
              <w:tc>
                <w:tcPr>
                  <w:tcW w:w="1673" w:type="dxa"/>
                  <w:tcBorders>
                    <w:top w:val="nil"/>
                    <w:left w:val="nil"/>
                    <w:bottom w:val="nil"/>
                    <w:right w:val="nil"/>
                  </w:tcBorders>
                </w:tcPr>
                <w:p w:rsidR="00283279" w:rsidRDefault="003F719C">
                  <w:pPr>
                    <w:spacing w:after="0" w:line="259" w:lineRule="auto"/>
                    <w:ind w:left="57" w:right="0" w:firstLine="0"/>
                    <w:jc w:val="left"/>
                  </w:pPr>
                  <w:r>
                    <w:rPr>
                      <w:rFonts w:ascii="Calibri" w:eastAsia="Calibri" w:hAnsi="Calibri" w:cs="Calibri"/>
                      <w:sz w:val="14"/>
                    </w:rPr>
                    <w:t>Orange, NY (36071)</w:t>
                  </w:r>
                </w:p>
              </w:tc>
              <w:tc>
                <w:tcPr>
                  <w:tcW w:w="873" w:type="dxa"/>
                  <w:tcBorders>
                    <w:top w:val="nil"/>
                    <w:left w:val="nil"/>
                    <w:bottom w:val="nil"/>
                    <w:right w:val="nil"/>
                  </w:tcBorders>
                </w:tcPr>
                <w:p w:rsidR="00283279" w:rsidRDefault="003F719C">
                  <w:pPr>
                    <w:spacing w:after="0" w:line="259" w:lineRule="auto"/>
                    <w:ind w:left="11" w:right="0" w:firstLine="0"/>
                    <w:jc w:val="left"/>
                  </w:pPr>
                  <w:r>
                    <w:rPr>
                      <w:rFonts w:ascii="Calibri" w:eastAsia="Calibri" w:hAnsi="Calibri" w:cs="Calibri"/>
                      <w:sz w:val="14"/>
                    </w:rPr>
                    <w:t>0·66</w:t>
                  </w:r>
                </w:p>
              </w:tc>
              <w:tc>
                <w:tcPr>
                  <w:tcW w:w="805" w:type="dxa"/>
                  <w:tcBorders>
                    <w:top w:val="nil"/>
                    <w:left w:val="nil"/>
                    <w:bottom w:val="nil"/>
                    <w:right w:val="nil"/>
                  </w:tcBorders>
                </w:tcPr>
                <w:p w:rsidR="00283279" w:rsidRDefault="003F719C">
                  <w:pPr>
                    <w:spacing w:after="0" w:line="259" w:lineRule="auto"/>
                    <w:ind w:left="11" w:right="0" w:firstLine="0"/>
                    <w:jc w:val="left"/>
                  </w:pPr>
                  <w:r>
                    <w:rPr>
                      <w:rFonts w:ascii="Calibri" w:eastAsia="Calibri" w:hAnsi="Calibri" w:cs="Calibri"/>
                      <w:sz w:val="14"/>
                    </w:rPr>
                    <w:t>0·80</w:t>
                  </w:r>
                </w:p>
              </w:tc>
              <w:tc>
                <w:tcPr>
                  <w:tcW w:w="692" w:type="dxa"/>
                  <w:tcBorders>
                    <w:top w:val="nil"/>
                    <w:left w:val="nil"/>
                    <w:bottom w:val="nil"/>
                    <w:right w:val="nil"/>
                  </w:tcBorders>
                </w:tcPr>
                <w:p w:rsidR="00283279" w:rsidRDefault="003F719C">
                  <w:pPr>
                    <w:spacing w:after="0" w:line="259" w:lineRule="auto"/>
                    <w:ind w:left="31" w:right="0" w:firstLine="0"/>
                    <w:jc w:val="left"/>
                  </w:pPr>
                  <w:r>
                    <w:rPr>
                      <w:rFonts w:ascii="Calibri" w:eastAsia="Calibri" w:hAnsi="Calibri" w:cs="Calibri"/>
                      <w:sz w:val="14"/>
                    </w:rPr>
                    <w:t>0·34</w:t>
                  </w:r>
                </w:p>
              </w:tc>
            </w:tr>
            <w:tr w:rsidR="00283279">
              <w:trPr>
                <w:trHeight w:val="226"/>
              </w:trPr>
              <w:tc>
                <w:tcPr>
                  <w:tcW w:w="1673" w:type="dxa"/>
                  <w:tcBorders>
                    <w:top w:val="nil"/>
                    <w:left w:val="nil"/>
                    <w:bottom w:val="nil"/>
                    <w:right w:val="nil"/>
                  </w:tcBorders>
                  <w:shd w:val="clear" w:color="auto" w:fill="FFFEFD"/>
                </w:tcPr>
                <w:p w:rsidR="00283279" w:rsidRDefault="003F719C">
                  <w:pPr>
                    <w:spacing w:after="0" w:line="259" w:lineRule="auto"/>
                    <w:ind w:left="57" w:right="0" w:firstLine="0"/>
                    <w:jc w:val="left"/>
                  </w:pPr>
                  <w:r>
                    <w:rPr>
                      <w:rFonts w:ascii="Calibri" w:eastAsia="Calibri" w:hAnsi="Calibri" w:cs="Calibri"/>
                      <w:sz w:val="14"/>
                    </w:rPr>
                    <w:t>Los Angeles, CA (06037)</w:t>
                  </w:r>
                </w:p>
              </w:tc>
              <w:tc>
                <w:tcPr>
                  <w:tcW w:w="873" w:type="dxa"/>
                  <w:tcBorders>
                    <w:top w:val="nil"/>
                    <w:left w:val="nil"/>
                    <w:bottom w:val="nil"/>
                    <w:right w:val="nil"/>
                  </w:tcBorders>
                  <w:shd w:val="clear" w:color="auto" w:fill="FFFEFD"/>
                </w:tcPr>
                <w:p w:rsidR="00283279" w:rsidRDefault="003F719C">
                  <w:pPr>
                    <w:spacing w:after="0" w:line="259" w:lineRule="auto"/>
                    <w:ind w:left="11" w:right="0" w:firstLine="0"/>
                    <w:jc w:val="left"/>
                  </w:pPr>
                  <w:r>
                    <w:rPr>
                      <w:rFonts w:ascii="Calibri" w:eastAsia="Calibri" w:hAnsi="Calibri" w:cs="Calibri"/>
                      <w:sz w:val="14"/>
                    </w:rPr>
                    <w:t>0·62</w:t>
                  </w:r>
                </w:p>
              </w:tc>
              <w:tc>
                <w:tcPr>
                  <w:tcW w:w="805" w:type="dxa"/>
                  <w:tcBorders>
                    <w:top w:val="nil"/>
                    <w:left w:val="nil"/>
                    <w:bottom w:val="nil"/>
                    <w:right w:val="nil"/>
                  </w:tcBorders>
                  <w:shd w:val="clear" w:color="auto" w:fill="FFFEFD"/>
                </w:tcPr>
                <w:p w:rsidR="00283279" w:rsidRDefault="003F719C">
                  <w:pPr>
                    <w:spacing w:after="0" w:line="259" w:lineRule="auto"/>
                    <w:ind w:left="11" w:right="0" w:firstLine="0"/>
                    <w:jc w:val="left"/>
                  </w:pPr>
                  <w:r>
                    <w:rPr>
                      <w:rFonts w:ascii="Calibri" w:eastAsia="Calibri" w:hAnsi="Calibri" w:cs="Calibri"/>
                      <w:sz w:val="14"/>
                    </w:rPr>
                    <w:t>0·89</w:t>
                  </w:r>
                </w:p>
              </w:tc>
              <w:tc>
                <w:tcPr>
                  <w:tcW w:w="692" w:type="dxa"/>
                  <w:tcBorders>
                    <w:top w:val="nil"/>
                    <w:left w:val="nil"/>
                    <w:bottom w:val="nil"/>
                    <w:right w:val="nil"/>
                  </w:tcBorders>
                  <w:shd w:val="clear" w:color="auto" w:fill="FFFEFD"/>
                </w:tcPr>
                <w:p w:rsidR="00283279" w:rsidRDefault="003F719C">
                  <w:pPr>
                    <w:spacing w:after="0" w:line="259" w:lineRule="auto"/>
                    <w:ind w:left="31" w:right="0" w:firstLine="0"/>
                    <w:jc w:val="left"/>
                  </w:pPr>
                  <w:r>
                    <w:rPr>
                      <w:rFonts w:ascii="Calibri" w:eastAsia="Calibri" w:hAnsi="Calibri" w:cs="Calibri"/>
                      <w:sz w:val="14"/>
                    </w:rPr>
                    <w:t>0·22</w:t>
                  </w:r>
                </w:p>
              </w:tc>
            </w:tr>
            <w:tr w:rsidR="00283279">
              <w:trPr>
                <w:trHeight w:val="226"/>
              </w:trPr>
              <w:tc>
                <w:tcPr>
                  <w:tcW w:w="1673" w:type="dxa"/>
                  <w:tcBorders>
                    <w:top w:val="nil"/>
                    <w:left w:val="nil"/>
                    <w:bottom w:val="nil"/>
                    <w:right w:val="nil"/>
                  </w:tcBorders>
                </w:tcPr>
                <w:p w:rsidR="00283279" w:rsidRDefault="003F719C">
                  <w:pPr>
                    <w:spacing w:after="0" w:line="259" w:lineRule="auto"/>
                    <w:ind w:left="57" w:right="0" w:firstLine="0"/>
                    <w:jc w:val="left"/>
                  </w:pPr>
                  <w:r>
                    <w:rPr>
                      <w:rFonts w:ascii="Calibri" w:eastAsia="Calibri" w:hAnsi="Calibri" w:cs="Calibri"/>
                      <w:sz w:val="14"/>
                    </w:rPr>
                    <w:t>Fairfield, CT (09001)</w:t>
                  </w:r>
                </w:p>
              </w:tc>
              <w:tc>
                <w:tcPr>
                  <w:tcW w:w="873" w:type="dxa"/>
                  <w:tcBorders>
                    <w:top w:val="nil"/>
                    <w:left w:val="nil"/>
                    <w:bottom w:val="nil"/>
                    <w:right w:val="nil"/>
                  </w:tcBorders>
                </w:tcPr>
                <w:p w:rsidR="00283279" w:rsidRDefault="003F719C">
                  <w:pPr>
                    <w:spacing w:after="0" w:line="259" w:lineRule="auto"/>
                    <w:ind w:left="11" w:right="0" w:firstLine="0"/>
                    <w:jc w:val="left"/>
                  </w:pPr>
                  <w:r>
                    <w:rPr>
                      <w:rFonts w:ascii="Calibri" w:eastAsia="Calibri" w:hAnsi="Calibri" w:cs="Calibri"/>
                      <w:sz w:val="14"/>
                    </w:rPr>
                    <w:t>0·61</w:t>
                  </w:r>
                </w:p>
              </w:tc>
              <w:tc>
                <w:tcPr>
                  <w:tcW w:w="805" w:type="dxa"/>
                  <w:tcBorders>
                    <w:top w:val="nil"/>
                    <w:left w:val="nil"/>
                    <w:bottom w:val="nil"/>
                    <w:right w:val="nil"/>
                  </w:tcBorders>
                </w:tcPr>
                <w:p w:rsidR="00283279" w:rsidRDefault="003F719C">
                  <w:pPr>
                    <w:spacing w:after="0" w:line="259" w:lineRule="auto"/>
                    <w:ind w:left="11" w:right="0" w:firstLine="0"/>
                    <w:jc w:val="left"/>
                  </w:pPr>
                  <w:r>
                    <w:rPr>
                      <w:rFonts w:ascii="Calibri" w:eastAsia="Calibri" w:hAnsi="Calibri" w:cs="Calibri"/>
                      <w:sz w:val="14"/>
                    </w:rPr>
                    <w:t>0·85</w:t>
                  </w:r>
                </w:p>
              </w:tc>
              <w:tc>
                <w:tcPr>
                  <w:tcW w:w="692" w:type="dxa"/>
                  <w:tcBorders>
                    <w:top w:val="nil"/>
                    <w:left w:val="nil"/>
                    <w:bottom w:val="nil"/>
                    <w:right w:val="nil"/>
                  </w:tcBorders>
                </w:tcPr>
                <w:p w:rsidR="00283279" w:rsidRDefault="003F719C">
                  <w:pPr>
                    <w:spacing w:after="0" w:line="259" w:lineRule="auto"/>
                    <w:ind w:left="31" w:right="0" w:firstLine="0"/>
                    <w:jc w:val="left"/>
                  </w:pPr>
                  <w:r>
                    <w:rPr>
                      <w:rFonts w:ascii="Calibri" w:eastAsia="Calibri" w:hAnsi="Calibri" w:cs="Calibri"/>
                      <w:sz w:val="14"/>
                    </w:rPr>
                    <w:t>0·27</w:t>
                  </w:r>
                </w:p>
              </w:tc>
            </w:tr>
            <w:tr w:rsidR="00283279">
              <w:trPr>
                <w:trHeight w:val="226"/>
              </w:trPr>
              <w:tc>
                <w:tcPr>
                  <w:tcW w:w="1673" w:type="dxa"/>
                  <w:tcBorders>
                    <w:top w:val="nil"/>
                    <w:left w:val="nil"/>
                    <w:bottom w:val="nil"/>
                    <w:right w:val="nil"/>
                  </w:tcBorders>
                  <w:shd w:val="clear" w:color="auto" w:fill="FFFEFD"/>
                </w:tcPr>
                <w:p w:rsidR="00283279" w:rsidRDefault="003F719C">
                  <w:pPr>
                    <w:spacing w:after="0" w:line="259" w:lineRule="auto"/>
                    <w:ind w:left="57" w:right="0" w:firstLine="0"/>
                    <w:jc w:val="left"/>
                  </w:pPr>
                  <w:r>
                    <w:rPr>
                      <w:rFonts w:ascii="Calibri" w:eastAsia="Calibri" w:hAnsi="Calibri" w:cs="Calibri"/>
                      <w:sz w:val="14"/>
                    </w:rPr>
                    <w:t>Orleans, LA (22071)</w:t>
                  </w:r>
                </w:p>
              </w:tc>
              <w:tc>
                <w:tcPr>
                  <w:tcW w:w="873" w:type="dxa"/>
                  <w:tcBorders>
                    <w:top w:val="nil"/>
                    <w:left w:val="nil"/>
                    <w:bottom w:val="nil"/>
                    <w:right w:val="nil"/>
                  </w:tcBorders>
                  <w:shd w:val="clear" w:color="auto" w:fill="FFFEFD"/>
                </w:tcPr>
                <w:p w:rsidR="00283279" w:rsidRDefault="003F719C">
                  <w:pPr>
                    <w:spacing w:after="0" w:line="259" w:lineRule="auto"/>
                    <w:ind w:left="11" w:right="0" w:firstLine="0"/>
                    <w:jc w:val="left"/>
                  </w:pPr>
                  <w:r>
                    <w:rPr>
                      <w:rFonts w:ascii="Calibri" w:eastAsia="Calibri" w:hAnsi="Calibri" w:cs="Calibri"/>
                      <w:sz w:val="14"/>
                    </w:rPr>
                    <w:t>0·61</w:t>
                  </w:r>
                </w:p>
              </w:tc>
              <w:tc>
                <w:tcPr>
                  <w:tcW w:w="805" w:type="dxa"/>
                  <w:tcBorders>
                    <w:top w:val="nil"/>
                    <w:left w:val="nil"/>
                    <w:bottom w:val="nil"/>
                    <w:right w:val="nil"/>
                  </w:tcBorders>
                  <w:shd w:val="clear" w:color="auto" w:fill="FFFEFD"/>
                </w:tcPr>
                <w:p w:rsidR="00283279" w:rsidRDefault="003F719C">
                  <w:pPr>
                    <w:spacing w:after="0" w:line="259" w:lineRule="auto"/>
                    <w:ind w:left="11" w:right="0" w:firstLine="0"/>
                    <w:jc w:val="left"/>
                  </w:pPr>
                  <w:r>
                    <w:rPr>
                      <w:rFonts w:ascii="Calibri" w:eastAsia="Calibri" w:hAnsi="Calibri" w:cs="Calibri"/>
                      <w:sz w:val="14"/>
                    </w:rPr>
                    <w:t>0·84</w:t>
                  </w:r>
                </w:p>
              </w:tc>
              <w:tc>
                <w:tcPr>
                  <w:tcW w:w="692" w:type="dxa"/>
                  <w:tcBorders>
                    <w:top w:val="nil"/>
                    <w:left w:val="nil"/>
                    <w:bottom w:val="nil"/>
                    <w:right w:val="nil"/>
                  </w:tcBorders>
                  <w:shd w:val="clear" w:color="auto" w:fill="FFFEFD"/>
                </w:tcPr>
                <w:p w:rsidR="00283279" w:rsidRDefault="003F719C">
                  <w:pPr>
                    <w:spacing w:after="0" w:line="259" w:lineRule="auto"/>
                    <w:ind w:left="31" w:right="0" w:firstLine="0"/>
                    <w:jc w:val="left"/>
                  </w:pPr>
                  <w:r>
                    <w:rPr>
                      <w:rFonts w:ascii="Calibri" w:eastAsia="Calibri" w:hAnsi="Calibri" w:cs="Calibri"/>
                      <w:sz w:val="14"/>
                    </w:rPr>
                    <w:t>0·26</w:t>
                  </w:r>
                </w:p>
              </w:tc>
            </w:tr>
            <w:tr w:rsidR="00283279">
              <w:trPr>
                <w:trHeight w:val="226"/>
              </w:trPr>
              <w:tc>
                <w:tcPr>
                  <w:tcW w:w="1673" w:type="dxa"/>
                  <w:tcBorders>
                    <w:top w:val="nil"/>
                    <w:left w:val="nil"/>
                    <w:bottom w:val="nil"/>
                    <w:right w:val="nil"/>
                  </w:tcBorders>
                </w:tcPr>
                <w:p w:rsidR="00283279" w:rsidRDefault="003F719C">
                  <w:pPr>
                    <w:spacing w:after="0" w:line="259" w:lineRule="auto"/>
                    <w:ind w:left="57" w:right="0" w:firstLine="0"/>
                    <w:jc w:val="left"/>
                  </w:pPr>
                  <w:r>
                    <w:rPr>
                      <w:rFonts w:ascii="Calibri" w:eastAsia="Calibri" w:hAnsi="Calibri" w:cs="Calibri"/>
                      <w:sz w:val="14"/>
                    </w:rPr>
                    <w:t>Harris, TX (48201)</w:t>
                  </w:r>
                </w:p>
              </w:tc>
              <w:tc>
                <w:tcPr>
                  <w:tcW w:w="873" w:type="dxa"/>
                  <w:tcBorders>
                    <w:top w:val="nil"/>
                    <w:left w:val="nil"/>
                    <w:bottom w:val="nil"/>
                    <w:right w:val="nil"/>
                  </w:tcBorders>
                </w:tcPr>
                <w:p w:rsidR="00283279" w:rsidRDefault="003F719C">
                  <w:pPr>
                    <w:spacing w:after="0" w:line="259" w:lineRule="auto"/>
                    <w:ind w:left="11" w:right="0" w:firstLine="0"/>
                    <w:jc w:val="left"/>
                  </w:pPr>
                  <w:r>
                    <w:rPr>
                      <w:rFonts w:ascii="Calibri" w:eastAsia="Calibri" w:hAnsi="Calibri" w:cs="Calibri"/>
                      <w:sz w:val="14"/>
                    </w:rPr>
                    <w:t>0·53</w:t>
                  </w:r>
                </w:p>
              </w:tc>
              <w:tc>
                <w:tcPr>
                  <w:tcW w:w="805" w:type="dxa"/>
                  <w:tcBorders>
                    <w:top w:val="nil"/>
                    <w:left w:val="nil"/>
                    <w:bottom w:val="nil"/>
                    <w:right w:val="nil"/>
                  </w:tcBorders>
                </w:tcPr>
                <w:p w:rsidR="00283279" w:rsidRDefault="003F719C">
                  <w:pPr>
                    <w:spacing w:after="0" w:line="259" w:lineRule="auto"/>
                    <w:ind w:left="11" w:right="0" w:firstLine="0"/>
                    <w:jc w:val="left"/>
                  </w:pPr>
                  <w:r>
                    <w:rPr>
                      <w:rFonts w:ascii="Calibri" w:eastAsia="Calibri" w:hAnsi="Calibri" w:cs="Calibri"/>
                      <w:sz w:val="14"/>
                    </w:rPr>
                    <w:t>0·78</w:t>
                  </w:r>
                </w:p>
              </w:tc>
              <w:tc>
                <w:tcPr>
                  <w:tcW w:w="692" w:type="dxa"/>
                  <w:tcBorders>
                    <w:top w:val="nil"/>
                    <w:left w:val="nil"/>
                    <w:bottom w:val="nil"/>
                    <w:right w:val="nil"/>
                  </w:tcBorders>
                </w:tcPr>
                <w:p w:rsidR="00283279" w:rsidRDefault="003F719C">
                  <w:pPr>
                    <w:spacing w:after="0" w:line="259" w:lineRule="auto"/>
                    <w:ind w:left="31" w:right="0" w:firstLine="0"/>
                    <w:jc w:val="left"/>
                  </w:pPr>
                  <w:r>
                    <w:rPr>
                      <w:rFonts w:ascii="Calibri" w:eastAsia="Calibri" w:hAnsi="Calibri" w:cs="Calibri"/>
                      <w:sz w:val="14"/>
                    </w:rPr>
                    <w:t>0·38</w:t>
                  </w:r>
                </w:p>
              </w:tc>
            </w:tr>
            <w:tr w:rsidR="00283279">
              <w:trPr>
                <w:trHeight w:val="226"/>
              </w:trPr>
              <w:tc>
                <w:tcPr>
                  <w:tcW w:w="1673" w:type="dxa"/>
                  <w:tcBorders>
                    <w:top w:val="nil"/>
                    <w:left w:val="nil"/>
                    <w:bottom w:val="nil"/>
                    <w:right w:val="nil"/>
                  </w:tcBorders>
                  <w:shd w:val="clear" w:color="auto" w:fill="FFFEFD"/>
                </w:tcPr>
                <w:p w:rsidR="00283279" w:rsidRDefault="003F719C">
                  <w:pPr>
                    <w:spacing w:after="0" w:line="259" w:lineRule="auto"/>
                    <w:ind w:left="57" w:right="0" w:firstLine="0"/>
                    <w:jc w:val="left"/>
                  </w:pPr>
                  <w:r>
                    <w:rPr>
                      <w:rFonts w:ascii="Calibri" w:eastAsia="Calibri" w:hAnsi="Calibri" w:cs="Calibri"/>
                      <w:sz w:val="14"/>
                    </w:rPr>
                    <w:t>All counties</w:t>
                  </w:r>
                </w:p>
              </w:tc>
              <w:tc>
                <w:tcPr>
                  <w:tcW w:w="873" w:type="dxa"/>
                  <w:tcBorders>
                    <w:top w:val="nil"/>
                    <w:left w:val="nil"/>
                    <w:bottom w:val="nil"/>
                    <w:right w:val="nil"/>
                  </w:tcBorders>
                  <w:shd w:val="clear" w:color="auto" w:fill="FFFEFD"/>
                </w:tcPr>
                <w:p w:rsidR="00283279" w:rsidRDefault="003F719C">
                  <w:pPr>
                    <w:spacing w:after="0" w:line="259" w:lineRule="auto"/>
                    <w:ind w:left="11" w:right="0" w:firstLine="0"/>
                    <w:jc w:val="left"/>
                  </w:pPr>
                  <w:r>
                    <w:rPr>
                      <w:rFonts w:ascii="Calibri" w:eastAsia="Calibri" w:hAnsi="Calibri" w:cs="Calibri"/>
                      <w:sz w:val="14"/>
                    </w:rPr>
                    <w:t>0·71</w:t>
                  </w:r>
                </w:p>
              </w:tc>
              <w:tc>
                <w:tcPr>
                  <w:tcW w:w="805" w:type="dxa"/>
                  <w:tcBorders>
                    <w:top w:val="nil"/>
                    <w:left w:val="nil"/>
                    <w:bottom w:val="nil"/>
                    <w:right w:val="nil"/>
                  </w:tcBorders>
                  <w:shd w:val="clear" w:color="auto" w:fill="FFFEFD"/>
                </w:tcPr>
                <w:p w:rsidR="00283279" w:rsidRDefault="003F719C">
                  <w:pPr>
                    <w:spacing w:after="0" w:line="259" w:lineRule="auto"/>
                    <w:ind w:left="11" w:right="0" w:firstLine="0"/>
                    <w:jc w:val="left"/>
                  </w:pPr>
                  <w:r>
                    <w:rPr>
                      <w:rFonts w:ascii="Calibri" w:eastAsia="Calibri" w:hAnsi="Calibri" w:cs="Calibri"/>
                      <w:sz w:val="14"/>
                    </w:rPr>
                    <w:t>0·88</w:t>
                  </w:r>
                </w:p>
              </w:tc>
              <w:tc>
                <w:tcPr>
                  <w:tcW w:w="692" w:type="dxa"/>
                  <w:tcBorders>
                    <w:top w:val="nil"/>
                    <w:left w:val="nil"/>
                    <w:bottom w:val="nil"/>
                    <w:right w:val="nil"/>
                  </w:tcBorders>
                  <w:shd w:val="clear" w:color="auto" w:fill="FFFEFD"/>
                </w:tcPr>
                <w:p w:rsidR="00283279" w:rsidRDefault="003F719C">
                  <w:pPr>
                    <w:spacing w:after="0" w:line="259" w:lineRule="auto"/>
                    <w:ind w:left="31" w:right="0" w:firstLine="0"/>
                    <w:jc w:val="left"/>
                  </w:pPr>
                  <w:r>
                    <w:rPr>
                      <w:rFonts w:ascii="Calibri" w:eastAsia="Calibri" w:hAnsi="Calibri" w:cs="Calibri"/>
                      <w:sz w:val="14"/>
                    </w:rPr>
                    <w:t>0·24</w:t>
                  </w:r>
                </w:p>
              </w:tc>
            </w:tr>
          </w:tbl>
          <w:p w:rsidR="00283279" w:rsidRDefault="003F719C">
            <w:pPr>
              <w:spacing w:after="0" w:line="257" w:lineRule="auto"/>
              <w:ind w:left="0" w:right="2" w:firstLine="0"/>
              <w:jc w:val="left"/>
            </w:pPr>
            <w:r>
              <w:rPr>
                <w:rFonts w:ascii="Calibri" w:eastAsia="Calibri" w:hAnsi="Calibri" w:cs="Calibri"/>
                <w:sz w:val="13"/>
              </w:rPr>
              <w:t xml:space="preserve">The list is presented by the correlation coefficient in descending order. The last row represents the results of a single model for all 25 US counties. All coefficients are statistically significant at 95% CI. Federal Information Processing Standards code </w:t>
            </w:r>
            <w:r>
              <w:rPr>
                <w:rFonts w:ascii="Calibri" w:eastAsia="Calibri" w:hAnsi="Calibri" w:cs="Calibri"/>
                <w:sz w:val="13"/>
              </w:rPr>
              <w:t xml:space="preserve">for each county is given. *To be consistent with the Johns Hopkins University </w:t>
            </w:r>
          </w:p>
          <w:p w:rsidR="00283279" w:rsidRDefault="003F719C">
            <w:pPr>
              <w:spacing w:after="0" w:line="269" w:lineRule="auto"/>
              <w:ind w:left="0" w:right="284" w:firstLine="0"/>
            </w:pPr>
            <w:r>
              <w:rPr>
                <w:rFonts w:ascii="Calibri" w:eastAsia="Calibri" w:hAnsi="Calibri" w:cs="Calibri"/>
                <w:sz w:val="13"/>
              </w:rPr>
              <w:t>Center for Systems Science and Engineering COVID-19 dashboard reporting,</w:t>
            </w:r>
            <w:r>
              <w:rPr>
                <w:rFonts w:ascii="Calibri" w:eastAsia="Calibri" w:hAnsi="Calibri" w:cs="Calibri"/>
                <w:sz w:val="10"/>
                <w:vertAlign w:val="superscript"/>
              </w:rPr>
              <w:t>5</w:t>
            </w:r>
            <w:r>
              <w:rPr>
                <w:rFonts w:ascii="Calibri" w:eastAsia="Calibri" w:hAnsi="Calibri" w:cs="Calibri"/>
                <w:sz w:val="13"/>
              </w:rPr>
              <w:t xml:space="preserve"> New York City is used to represent New York County, Queens County, Bronx County, Kings County, and Rich</w:t>
            </w:r>
            <w:r>
              <w:rPr>
                <w:rFonts w:ascii="Calibri" w:eastAsia="Calibri" w:hAnsi="Calibri" w:cs="Calibri"/>
                <w:sz w:val="13"/>
              </w:rPr>
              <w:t>mond County in one location.</w:t>
            </w:r>
          </w:p>
          <w:p w:rsidR="00283279" w:rsidRDefault="003F719C">
            <w:pPr>
              <w:spacing w:after="35" w:line="259" w:lineRule="auto"/>
              <w:ind w:left="0" w:right="0" w:firstLine="0"/>
              <w:jc w:val="left"/>
            </w:pPr>
            <w:r>
              <w:rPr>
                <w:rFonts w:ascii="Calibri" w:eastAsia="Calibri" w:hAnsi="Calibri" w:cs="Calibri"/>
                <w:noProof/>
                <w:color w:val="000000"/>
                <w:sz w:val="22"/>
              </w:rPr>
              <mc:AlternateContent>
                <mc:Choice Requires="wpg">
                  <w:drawing>
                    <wp:inline distT="0" distB="0" distL="0" distR="0">
                      <wp:extent cx="2567635" cy="3175"/>
                      <wp:effectExtent l="0" t="0" r="0" b="0"/>
                      <wp:docPr id="550706" name="Group 550706"/>
                      <wp:cNvGraphicFramePr/>
                      <a:graphic xmlns:a="http://schemas.openxmlformats.org/drawingml/2006/main">
                        <a:graphicData uri="http://schemas.microsoft.com/office/word/2010/wordprocessingGroup">
                          <wpg:wgp>
                            <wpg:cNvGrpSpPr/>
                            <wpg:grpSpPr>
                              <a:xfrm>
                                <a:off x="0" y="0"/>
                                <a:ext cx="2567635" cy="3175"/>
                                <a:chOff x="0" y="0"/>
                                <a:chExt cx="2567635" cy="3175"/>
                              </a:xfrm>
                            </wpg:grpSpPr>
                            <wps:wsp>
                              <wps:cNvPr id="525" name="Shape 525"/>
                              <wps:cNvSpPr/>
                              <wps:spPr>
                                <a:xfrm>
                                  <a:off x="0" y="0"/>
                                  <a:ext cx="2567635" cy="0"/>
                                </a:xfrm>
                                <a:custGeom>
                                  <a:avLst/>
                                  <a:gdLst/>
                                  <a:ahLst/>
                                  <a:cxnLst/>
                                  <a:rect l="0" t="0" r="0" b="0"/>
                                  <a:pathLst>
                                    <a:path w="2567635">
                                      <a:moveTo>
                                        <a:pt x="0" y="0"/>
                                      </a:moveTo>
                                      <a:lnTo>
                                        <a:pt x="2567635"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0706" style="width:202.176pt;height:0.25pt;mso-position-horizontal-relative:char;mso-position-vertical-relative:line" coordsize="25676,31">
                      <v:shape id="Shape 525" style="position:absolute;width:25676;height:0;left:0;top:0;" coordsize="2567635,0" path="m0,0l2567635,0">
                        <v:stroke weight="0.25pt" endcap="flat" joinstyle="miter" miterlimit="10" on="true" color="#181717"/>
                        <v:fill on="false" color="#000000" opacity="0"/>
                      </v:shape>
                    </v:group>
                  </w:pict>
                </mc:Fallback>
              </mc:AlternateContent>
            </w:r>
          </w:p>
          <w:p w:rsidR="00283279" w:rsidRDefault="003F719C">
            <w:pPr>
              <w:spacing w:after="0" w:line="259" w:lineRule="auto"/>
              <w:ind w:left="0" w:right="54" w:firstLine="0"/>
              <w:jc w:val="left"/>
            </w:pPr>
            <w:r>
              <w:rPr>
                <w:rFonts w:ascii="Calibri" w:eastAsia="Calibri" w:hAnsi="Calibri" w:cs="Calibri"/>
                <w:b/>
                <w:i/>
                <w:sz w:val="14"/>
              </w:rPr>
              <w:t>Table:</w:t>
            </w:r>
            <w:r>
              <w:rPr>
                <w:rFonts w:ascii="Calibri" w:eastAsia="Calibri" w:hAnsi="Calibri" w:cs="Calibri"/>
                <w:b/>
                <w:sz w:val="14"/>
              </w:rPr>
              <w:t xml:space="preserve"> The selected 25 US counties and the associated Pearson correlation coefficient and generalised linear model coefficients (intercept and slope) between 11-day lagged mobility ratio and growth rate ratio</w:t>
            </w:r>
          </w:p>
        </w:tc>
      </w:tr>
    </w:tbl>
    <w:p w:rsidR="00283279" w:rsidRDefault="003F719C">
      <w:pPr>
        <w:spacing w:after="215"/>
        <w:ind w:left="-5" w:right="1792"/>
      </w:pPr>
      <w:r>
        <w:t>correlation between MR and GR was computed from separate models for each county as well as a combined single model for all counties. Additionally, the most highly correlated lag range was identified based on the (maximum) mean and (minimum) SD of the corre</w:t>
      </w:r>
      <w:r>
        <w:t>lations across all counties, based on the Pearson correlation coefficient.</w:t>
      </w:r>
    </w:p>
    <w:p w:rsidR="00283279" w:rsidRDefault="003F719C">
      <w:pPr>
        <w:pStyle w:val="Heading2"/>
        <w:ind w:left="-5"/>
      </w:pPr>
      <w:r>
        <w:t xml:space="preserve">Role of the funding source </w:t>
      </w:r>
    </w:p>
    <w:p w:rsidR="00283279" w:rsidRDefault="003F719C">
      <w:pPr>
        <w:ind w:left="-5" w:right="1792"/>
      </w:pPr>
      <w:r>
        <w:t>There was no funding source for this study. All corresponding authors had full access to all the data in the study and shared the final responsibility fo</w:t>
      </w:r>
      <w:r>
        <w:t xml:space="preserve">r the decision to submit for publication. </w:t>
      </w:r>
      <w:r>
        <w:rPr>
          <w:rFonts w:ascii="Calibri" w:eastAsia="Calibri" w:hAnsi="Calibri" w:cs="Calibri"/>
          <w:b/>
          <w:color w:val="A82B3D"/>
          <w:sz w:val="22"/>
        </w:rPr>
        <w:t>Results</w:t>
      </w:r>
    </w:p>
    <w:p w:rsidR="00283279" w:rsidRDefault="003F719C">
      <w:pPr>
        <w:ind w:left="-5" w:right="1502"/>
      </w:pPr>
      <w:r>
        <w:t xml:space="preserve">The differences in county-level MR across the USA from Jan 24 to April 17, 2020, are illustrated in figure 1, and </w:t>
      </w:r>
    </w:p>
    <w:p w:rsidR="00283279" w:rsidRDefault="00283279">
      <w:pPr>
        <w:sectPr w:rsidR="00283279">
          <w:type w:val="continuous"/>
          <w:pgSz w:w="11906" w:h="15987"/>
          <w:pgMar w:top="2544" w:right="589" w:bottom="909" w:left="737" w:header="720" w:footer="720" w:gutter="0"/>
          <w:cols w:num="2" w:space="720" w:equalWidth="0">
            <w:col w:w="8813" w:space="124"/>
            <w:col w:w="1643"/>
          </w:cols>
        </w:sectPr>
      </w:pPr>
    </w:p>
    <w:p w:rsidR="00283279" w:rsidRDefault="003F719C">
      <w:pPr>
        <w:ind w:left="-5" w:right="0"/>
        <w:jc w:val="left"/>
      </w:pPr>
      <w:r>
        <w:rPr>
          <w:rFonts w:ascii="Calibri" w:eastAsia="Calibri" w:hAnsi="Calibri" w:cs="Calibri"/>
          <w:sz w:val="13"/>
        </w:rPr>
        <w:t xml:space="preserve">See </w:t>
      </w:r>
      <w:hyperlink r:id="rId16">
        <w:r>
          <w:rPr>
            <w:rFonts w:ascii="Calibri" w:eastAsia="Calibri" w:hAnsi="Calibri" w:cs="Calibri"/>
            <w:b/>
            <w:color w:val="5B6769"/>
            <w:sz w:val="13"/>
          </w:rPr>
          <w:t>Online</w:t>
        </w:r>
      </w:hyperlink>
      <w:r>
        <w:rPr>
          <w:rFonts w:ascii="Calibri" w:eastAsia="Calibri" w:hAnsi="Calibri" w:cs="Calibri"/>
          <w:sz w:val="13"/>
        </w:rPr>
        <w:t xml:space="preserve"> for v</w:t>
      </w:r>
      <w:r>
        <w:rPr>
          <w:rFonts w:ascii="Calibri" w:eastAsia="Calibri" w:hAnsi="Calibri" w:cs="Calibri"/>
          <w:sz w:val="13"/>
        </w:rPr>
        <w:t>ideo</w:t>
      </w:r>
    </w:p>
    <w:p w:rsidR="00283279" w:rsidRDefault="00283279">
      <w:pPr>
        <w:sectPr w:rsidR="00283279">
          <w:type w:val="continuous"/>
          <w:pgSz w:w="11906" w:h="15987"/>
          <w:pgMar w:top="11602" w:right="9694" w:bottom="4999" w:left="1201" w:header="720" w:footer="720" w:gutter="0"/>
          <w:cols w:space="720"/>
        </w:sectPr>
      </w:pPr>
    </w:p>
    <w:p w:rsidR="00283279" w:rsidRDefault="003F719C">
      <w:pPr>
        <w:spacing w:after="74" w:line="259" w:lineRule="auto"/>
        <w:ind w:left="1639" w:right="-593" w:firstLine="0"/>
        <w:jc w:val="left"/>
      </w:pPr>
      <w:r>
        <w:rPr>
          <w:noProof/>
        </w:rPr>
        <w:drawing>
          <wp:inline distT="0" distB="0" distL="0" distR="0">
            <wp:extent cx="5605272" cy="5081016"/>
            <wp:effectExtent l="0" t="0" r="0" b="0"/>
            <wp:docPr id="973962" name="Picture 973962"/>
            <wp:cNvGraphicFramePr/>
            <a:graphic xmlns:a="http://schemas.openxmlformats.org/drawingml/2006/main">
              <a:graphicData uri="http://schemas.openxmlformats.org/drawingml/2006/picture">
                <pic:pic xmlns:pic="http://schemas.openxmlformats.org/drawingml/2006/picture">
                  <pic:nvPicPr>
                    <pic:cNvPr id="973962" name="Picture 973962"/>
                    <pic:cNvPicPr/>
                  </pic:nvPicPr>
                  <pic:blipFill>
                    <a:blip r:embed="rId17"/>
                    <a:stretch>
                      <a:fillRect/>
                    </a:stretch>
                  </pic:blipFill>
                  <pic:spPr>
                    <a:xfrm>
                      <a:off x="0" y="0"/>
                      <a:ext cx="5605272" cy="5081016"/>
                    </a:xfrm>
                    <a:prstGeom prst="rect">
                      <a:avLst/>
                    </a:prstGeom>
                  </pic:spPr>
                </pic:pic>
              </a:graphicData>
            </a:graphic>
          </wp:inline>
        </w:drawing>
      </w:r>
    </w:p>
    <w:tbl>
      <w:tblPr>
        <w:tblStyle w:val="TableGrid"/>
        <w:tblpPr w:vertAnchor="page" w:horzAnchor="page" w:tblpX="2376" w:tblpY="10993"/>
        <w:tblOverlap w:val="never"/>
        <w:tblW w:w="8838" w:type="dxa"/>
        <w:tblInd w:w="0" w:type="dxa"/>
        <w:tblCellMar>
          <w:top w:w="0" w:type="dxa"/>
          <w:left w:w="0" w:type="dxa"/>
          <w:bottom w:w="0" w:type="dxa"/>
          <w:right w:w="0" w:type="dxa"/>
        </w:tblCellMar>
        <w:tblLook w:val="04A0" w:firstRow="1" w:lastRow="0" w:firstColumn="1" w:lastColumn="0" w:noHBand="0" w:noVBand="1"/>
      </w:tblPr>
      <w:tblGrid>
        <w:gridCol w:w="4512"/>
        <w:gridCol w:w="4326"/>
      </w:tblGrid>
      <w:tr w:rsidR="00283279">
        <w:trPr>
          <w:trHeight w:val="370"/>
        </w:trPr>
        <w:tc>
          <w:tcPr>
            <w:tcW w:w="4512" w:type="dxa"/>
            <w:tcBorders>
              <w:top w:val="nil"/>
              <w:left w:val="nil"/>
              <w:bottom w:val="nil"/>
              <w:right w:val="nil"/>
            </w:tcBorders>
          </w:tcPr>
          <w:p w:rsidR="00283279" w:rsidRDefault="003F719C">
            <w:pPr>
              <w:spacing w:after="0" w:line="259" w:lineRule="auto"/>
              <w:ind w:left="0" w:right="0" w:firstLine="0"/>
              <w:jc w:val="left"/>
            </w:pPr>
            <w:r>
              <w:rPr>
                <w:rFonts w:ascii="Calibri" w:eastAsia="Calibri" w:hAnsi="Calibri" w:cs="Calibri"/>
                <w:sz w:val="14"/>
              </w:rPr>
              <w:t>two SDs below the mean.</w:t>
            </w:r>
          </w:p>
        </w:tc>
        <w:tc>
          <w:tcPr>
            <w:tcW w:w="4326" w:type="dxa"/>
            <w:tcBorders>
              <w:top w:val="nil"/>
              <w:left w:val="nil"/>
              <w:bottom w:val="nil"/>
              <w:right w:val="nil"/>
            </w:tcBorders>
          </w:tcPr>
          <w:p w:rsidR="00283279" w:rsidRDefault="00283279">
            <w:pPr>
              <w:spacing w:after="160" w:line="259" w:lineRule="auto"/>
              <w:ind w:left="0" w:right="0" w:firstLine="0"/>
              <w:jc w:val="left"/>
            </w:pPr>
          </w:p>
        </w:tc>
      </w:tr>
      <w:tr w:rsidR="00283279">
        <w:trPr>
          <w:trHeight w:val="3715"/>
        </w:trPr>
        <w:tc>
          <w:tcPr>
            <w:tcW w:w="4512" w:type="dxa"/>
            <w:tcBorders>
              <w:top w:val="nil"/>
              <w:left w:val="nil"/>
              <w:bottom w:val="nil"/>
              <w:right w:val="nil"/>
            </w:tcBorders>
            <w:vAlign w:val="bottom"/>
          </w:tcPr>
          <w:p w:rsidR="00283279" w:rsidRDefault="003F719C">
            <w:pPr>
              <w:spacing w:after="0" w:line="253" w:lineRule="auto"/>
              <w:ind w:left="5" w:right="226" w:firstLine="0"/>
            </w:pPr>
            <w:r>
              <w:t xml:space="preserve">shown at a daily resolution in the </w:t>
            </w:r>
            <w:hyperlink r:id="rId18">
              <w:r>
                <w:t>video.</w:t>
              </w:r>
            </w:hyperlink>
            <w:r>
              <w:t xml:space="preserve"> For the 25 US counties with the highest number of reported cases, the MR as of April 17 are shown in the appendix (p 5). The MR for these 25 counties ranged from 0·35 in New York City to 0·63 in Harris County, TX, which highlights the varying MR measures </w:t>
            </w:r>
            <w:r>
              <w:t>and associated behavioural changes around the country. Counties with the most social distancing in the first week of April were predominantly in New York, New Jersey, and Massachusetts—the locations that reported the most COVID-19 cases at the time.</w:t>
            </w:r>
          </w:p>
          <w:p w:rsidR="00283279" w:rsidRDefault="003F719C">
            <w:pPr>
              <w:spacing w:after="0" w:line="259" w:lineRule="auto"/>
              <w:ind w:left="5" w:right="226" w:firstLine="142"/>
            </w:pPr>
            <w:r>
              <w:t>For th</w:t>
            </w:r>
            <w:r>
              <w:t>e set of 11 states corresponding to the top 25 counties (appendix p 6), similar MR behaviour was observed at the state level. The complete list of all US states ranked by their respective MR as of April 17 is provided in the appendix (p 7). Consistent with</w:t>
            </w:r>
            <w:r>
              <w:t xml:space="preserve"> countylevel behaviour, there was evidence of different levels of </w:t>
            </w:r>
          </w:p>
        </w:tc>
        <w:tc>
          <w:tcPr>
            <w:tcW w:w="4326" w:type="dxa"/>
            <w:tcBorders>
              <w:top w:val="nil"/>
              <w:left w:val="nil"/>
              <w:bottom w:val="nil"/>
              <w:right w:val="nil"/>
            </w:tcBorders>
            <w:vAlign w:val="bottom"/>
          </w:tcPr>
          <w:p w:rsidR="00283279" w:rsidRDefault="003F719C">
            <w:pPr>
              <w:spacing w:after="0" w:line="253" w:lineRule="auto"/>
              <w:ind w:left="0" w:firstLine="0"/>
            </w:pPr>
            <w:r>
              <w:t>social distancing across states, with only Washington DC reducing trips to below 50% of the baseline rate, and the rest of the 50 states moving around 53–90% of baseline levels. Many of the southern states, which implemented temporary closure of non-essent</w:t>
            </w:r>
            <w:r>
              <w:t>ial business later in March or early April, reported higher MRs.</w:t>
            </w:r>
          </w:p>
          <w:p w:rsidR="00283279" w:rsidRDefault="003F719C">
            <w:pPr>
              <w:spacing w:after="0" w:line="259" w:lineRule="auto"/>
              <w:ind w:left="0" w:firstLine="142"/>
            </w:pPr>
            <w:r>
              <w:t>The relationship between the state’s MR trends over time and the timing of the state-level social distancing directives are illustrated in figure 2 (appendix pp 12–13). In addition to the tim</w:t>
            </w:r>
            <w:r>
              <w:t>ing of the state-level directives, we collected information on the county-level social distancing directives that were implemented in each of the 25 counties of focus. A list of all local directives and respective dates is provided in the appendix (pp 14–1</w:t>
            </w:r>
            <w:r>
              <w:t xml:space="preserve">8), and includes the time between local-level and state-level actions. Figure 2 illustrates that social distancing began  </w:t>
            </w:r>
          </w:p>
        </w:tc>
      </w:tr>
    </w:tbl>
    <w:p w:rsidR="00283279" w:rsidRDefault="003F719C">
      <w:pPr>
        <w:pStyle w:val="Heading3"/>
        <w:ind w:left="1647"/>
      </w:pPr>
      <w:r>
        <w:rPr>
          <w:i/>
        </w:rPr>
        <w:t>Figure 1:</w:t>
      </w:r>
      <w:r>
        <w:rPr>
          <w:b w:val="0"/>
          <w:i/>
        </w:rPr>
        <w:t xml:space="preserve"> </w:t>
      </w:r>
      <w:r>
        <w:t>Mobility ratio for each US county on Friday, Jan 24, 2020 (top), and on Friday, April 17, 2020 (bottom)</w:t>
      </w:r>
    </w:p>
    <w:p w:rsidR="00283279" w:rsidRDefault="003F719C">
      <w:pPr>
        <w:spacing w:after="74" w:line="252" w:lineRule="auto"/>
        <w:ind w:left="1662" w:right="0"/>
        <w:jc w:val="left"/>
      </w:pPr>
      <w:r>
        <w:rPr>
          <w:rFonts w:ascii="Calibri" w:eastAsia="Calibri" w:hAnsi="Calibri" w:cs="Calibri"/>
          <w:sz w:val="14"/>
        </w:rPr>
        <w:t>The greyed-out are</w:t>
      </w:r>
      <w:r>
        <w:rPr>
          <w:rFonts w:ascii="Calibri" w:eastAsia="Calibri" w:hAnsi="Calibri" w:cs="Calibri"/>
          <w:sz w:val="14"/>
        </w:rPr>
        <w:t>as in the Midwest are filtered because of low coverage in the Teralytics dataset.</w:t>
      </w:r>
      <w:r>
        <w:rPr>
          <w:rFonts w:ascii="Calibri" w:eastAsia="Calibri" w:hAnsi="Calibri" w:cs="Calibri"/>
          <w:sz w:val="11"/>
          <w:vertAlign w:val="superscript"/>
        </w:rPr>
        <w:t>14</w:t>
      </w:r>
      <w:r>
        <w:rPr>
          <w:rFonts w:ascii="Calibri" w:eastAsia="Calibri" w:hAnsi="Calibri" w:cs="Calibri"/>
          <w:sz w:val="14"/>
        </w:rPr>
        <w:t xml:space="preserve"> This includes all counties with total trip counts less than </w:t>
      </w:r>
    </w:p>
    <w:p w:rsidR="00283279" w:rsidRDefault="003F719C">
      <w:pPr>
        <w:spacing w:after="73" w:line="259" w:lineRule="auto"/>
        <w:ind w:left="-11" w:right="0" w:firstLine="0"/>
        <w:jc w:val="left"/>
      </w:pPr>
      <w:r>
        <w:rPr>
          <w:noProof/>
        </w:rPr>
        <w:drawing>
          <wp:inline distT="0" distB="0" distL="0" distR="0">
            <wp:extent cx="5605272" cy="2880360"/>
            <wp:effectExtent l="0" t="0" r="0" b="0"/>
            <wp:docPr id="973964" name="Picture 973964"/>
            <wp:cNvGraphicFramePr/>
            <a:graphic xmlns:a="http://schemas.openxmlformats.org/drawingml/2006/main">
              <a:graphicData uri="http://schemas.openxmlformats.org/drawingml/2006/picture">
                <pic:pic xmlns:pic="http://schemas.openxmlformats.org/drawingml/2006/picture">
                  <pic:nvPicPr>
                    <pic:cNvPr id="973964" name="Picture 973964"/>
                    <pic:cNvPicPr/>
                  </pic:nvPicPr>
                  <pic:blipFill>
                    <a:blip r:embed="rId19"/>
                    <a:stretch>
                      <a:fillRect/>
                    </a:stretch>
                  </pic:blipFill>
                  <pic:spPr>
                    <a:xfrm>
                      <a:off x="0" y="0"/>
                      <a:ext cx="5605272" cy="2880360"/>
                    </a:xfrm>
                    <a:prstGeom prst="rect">
                      <a:avLst/>
                    </a:prstGeom>
                  </pic:spPr>
                </pic:pic>
              </a:graphicData>
            </a:graphic>
          </wp:inline>
        </w:drawing>
      </w:r>
    </w:p>
    <w:p w:rsidR="00283279" w:rsidRDefault="003F719C">
      <w:pPr>
        <w:pStyle w:val="Heading3"/>
        <w:ind w:left="10"/>
      </w:pPr>
      <w:r>
        <w:rPr>
          <w:i/>
        </w:rPr>
        <w:t>Figure 2:</w:t>
      </w:r>
      <w:r>
        <w:t xml:space="preserve"> Timeseries of MR for US states and the corresponding dates of stay-at-home orders</w:t>
      </w:r>
    </w:p>
    <w:p w:rsidR="00283279" w:rsidRDefault="003F719C">
      <w:pPr>
        <w:spacing w:after="74" w:line="252" w:lineRule="auto"/>
        <w:ind w:left="8" w:right="1335"/>
        <w:jc w:val="left"/>
      </w:pPr>
      <w:r>
        <w:rPr>
          <w:rFonts w:ascii="Calibri" w:eastAsia="Calibri" w:hAnsi="Calibri" w:cs="Calibri"/>
          <w:sz w:val="14"/>
        </w:rPr>
        <w:t>The dots represen</w:t>
      </w:r>
      <w:r>
        <w:rPr>
          <w:rFonts w:ascii="Calibri" w:eastAsia="Calibri" w:hAnsi="Calibri" w:cs="Calibri"/>
          <w:sz w:val="14"/>
        </w:rPr>
        <w:t>t the raw MR data while the plotted lines are smoothed using a generalised additive model. Vertical dashed lines are stay-at-home orders (dates listed in the appendix pp 12–13). Some orders occurred on the same day; thus, only eight of 11 orders are visibl</w:t>
      </w:r>
      <w:r>
        <w:rPr>
          <w:rFonts w:ascii="Calibri" w:eastAsia="Calibri" w:hAnsi="Calibri" w:cs="Calibri"/>
          <w:sz w:val="14"/>
        </w:rPr>
        <w:t>e. MR=mobility ratio.</w:t>
      </w:r>
    </w:p>
    <w:p w:rsidR="00283279" w:rsidRDefault="003F719C">
      <w:pPr>
        <w:spacing w:after="71" w:line="259" w:lineRule="auto"/>
        <w:ind w:left="-1" w:right="0" w:firstLine="0"/>
        <w:jc w:val="left"/>
      </w:pPr>
      <w:r>
        <w:rPr>
          <w:noProof/>
        </w:rPr>
        <w:drawing>
          <wp:inline distT="0" distB="0" distL="0" distR="0">
            <wp:extent cx="5593081" cy="2356104"/>
            <wp:effectExtent l="0" t="0" r="0" b="0"/>
            <wp:docPr id="973966" name="Picture 973966"/>
            <wp:cNvGraphicFramePr/>
            <a:graphic xmlns:a="http://schemas.openxmlformats.org/drawingml/2006/main">
              <a:graphicData uri="http://schemas.openxmlformats.org/drawingml/2006/picture">
                <pic:pic xmlns:pic="http://schemas.openxmlformats.org/drawingml/2006/picture">
                  <pic:nvPicPr>
                    <pic:cNvPr id="973966" name="Picture 973966"/>
                    <pic:cNvPicPr/>
                  </pic:nvPicPr>
                  <pic:blipFill>
                    <a:blip r:embed="rId20"/>
                    <a:stretch>
                      <a:fillRect/>
                    </a:stretch>
                  </pic:blipFill>
                  <pic:spPr>
                    <a:xfrm>
                      <a:off x="0" y="0"/>
                      <a:ext cx="5593081" cy="2356104"/>
                    </a:xfrm>
                    <a:prstGeom prst="rect">
                      <a:avLst/>
                    </a:prstGeom>
                  </pic:spPr>
                </pic:pic>
              </a:graphicData>
            </a:graphic>
          </wp:inline>
        </w:drawing>
      </w:r>
    </w:p>
    <w:p w:rsidR="00283279" w:rsidRDefault="003F719C">
      <w:pPr>
        <w:spacing w:after="74" w:line="252" w:lineRule="auto"/>
        <w:ind w:left="8" w:right="1335"/>
        <w:jc w:val="left"/>
      </w:pPr>
      <w:r>
        <w:rPr>
          <w:rFonts w:ascii="Calibri" w:eastAsia="Calibri" w:hAnsi="Calibri" w:cs="Calibri"/>
          <w:b/>
          <w:i/>
          <w:sz w:val="14"/>
        </w:rPr>
        <w:t xml:space="preserve">Figure 3: </w:t>
      </w:r>
      <w:r>
        <w:rPr>
          <w:rFonts w:ascii="Calibri" w:eastAsia="Calibri" w:hAnsi="Calibri" w:cs="Calibri"/>
          <w:b/>
          <w:sz w:val="14"/>
        </w:rPr>
        <w:t xml:space="preserve">Correlations between MR and GR at different lags (in days) for the single all-county model and the mean and SDs of the county-specific model </w:t>
      </w:r>
      <w:r>
        <w:rPr>
          <w:rFonts w:ascii="Calibri" w:eastAsia="Calibri" w:hAnsi="Calibri" w:cs="Calibri"/>
          <w:sz w:val="14"/>
        </w:rPr>
        <w:t xml:space="preserve">All correlations are significant at a 95% CIs. An optimal lag of 11 days is noted by the vertical green dotted line, with the window of 9–12 days highlighted in grey. </w:t>
      </w:r>
    </w:p>
    <w:p w:rsidR="00283279" w:rsidRDefault="00283279">
      <w:pPr>
        <w:sectPr w:rsidR="00283279">
          <w:type w:val="continuous"/>
          <w:pgSz w:w="11906" w:h="15987"/>
          <w:pgMar w:top="2568" w:right="1308" w:bottom="909" w:left="725" w:header="720" w:footer="720" w:gutter="0"/>
          <w:cols w:space="720"/>
        </w:sectPr>
      </w:pPr>
    </w:p>
    <w:p w:rsidR="00283279" w:rsidRDefault="003F719C">
      <w:pPr>
        <w:spacing w:after="206" w:line="252" w:lineRule="auto"/>
        <w:ind w:left="8" w:right="1335"/>
        <w:jc w:val="left"/>
      </w:pPr>
      <w:r>
        <w:rPr>
          <w:rFonts w:ascii="Calibri" w:eastAsia="Calibri" w:hAnsi="Calibri" w:cs="Calibri"/>
          <w:sz w:val="14"/>
        </w:rPr>
        <w:t xml:space="preserve">MR=mobility ratio. GR=growth rate ratio. </w:t>
      </w:r>
    </w:p>
    <w:p w:rsidR="00283279" w:rsidRDefault="003F719C">
      <w:pPr>
        <w:ind w:left="-5" w:right="30"/>
      </w:pPr>
      <w:r>
        <w:t>in early March, well before th</w:t>
      </w:r>
      <w:r>
        <w:t>e first US state-level stay-athome directive (implemented by California on March 19). While the county-level directives partly explain the earlier decline in MR, which began well before the state-level directives were put in place, all states illustrated s</w:t>
      </w:r>
      <w:r>
        <w:t>ome level of social distancing before county-level directives were enacted.</w:t>
      </w:r>
    </w:p>
    <w:p w:rsidR="00283279" w:rsidRDefault="003F719C">
      <w:pPr>
        <w:ind w:left="-15" w:right="30" w:firstLine="142"/>
      </w:pPr>
      <w:r>
        <w:t>The relationship between state and local directives and MR for each of the selected 25 counties is illustrated in the appendix (p 8). To explore how internal trips (ie, movements w</w:t>
      </w:r>
      <w:r>
        <w:t>ithin a county) might vary from the total county trips (including incoming and outgoing), within-county trips only are presented in the x (p 9). From the results of this county-level breakdown, locations such as Bergen, NJ, Oakland, MI, Orange, NY, and Fai</w:t>
      </w:r>
      <w:r>
        <w:t xml:space="preserve">rfield, CT, implemented local directives much earlier than their corresponding states, which better align with the start of MR decline in these counties. By contrast, in Orleans and Jefferson, LA, where local-level directives were imple mented late or not </w:t>
      </w:r>
      <w:r>
        <w:t xml:space="preserve">at all, MR was declining for weeks without directives in place, suggesting this behavioural change was driven by other means. For all 25 counties, except for Jefferson, LA, local directives were implemented at least 3–17 days before the state-level </w:t>
      </w:r>
    </w:p>
    <w:tbl>
      <w:tblPr>
        <w:tblStyle w:val="TableGrid"/>
        <w:tblpPr w:vertAnchor="text" w:horzAnchor="margin"/>
        <w:tblOverlap w:val="never"/>
        <w:tblW w:w="10637" w:type="dxa"/>
        <w:tblInd w:w="0" w:type="dxa"/>
        <w:tblCellMar>
          <w:top w:w="0" w:type="dxa"/>
          <w:left w:w="0" w:type="dxa"/>
          <w:bottom w:w="0" w:type="dxa"/>
          <w:right w:w="43" w:type="dxa"/>
        </w:tblCellMar>
        <w:tblLook w:val="04A0" w:firstRow="1" w:lastRow="0" w:firstColumn="1" w:lastColumn="0" w:noHBand="0" w:noVBand="1"/>
      </w:tblPr>
      <w:tblGrid>
        <w:gridCol w:w="10637"/>
      </w:tblGrid>
      <w:tr w:rsidR="00283279">
        <w:trPr>
          <w:trHeight w:val="521"/>
        </w:trPr>
        <w:tc>
          <w:tcPr>
            <w:tcW w:w="10498" w:type="dxa"/>
            <w:tcBorders>
              <w:top w:val="nil"/>
              <w:left w:val="nil"/>
              <w:bottom w:val="nil"/>
              <w:right w:val="nil"/>
            </w:tcBorders>
            <w:vAlign w:val="bottom"/>
          </w:tcPr>
          <w:p w:rsidR="00283279" w:rsidRDefault="003F719C">
            <w:pPr>
              <w:spacing w:after="88" w:line="259" w:lineRule="auto"/>
              <w:ind w:left="0" w:right="0" w:firstLine="0"/>
              <w:jc w:val="left"/>
            </w:pPr>
            <w:r>
              <w:rPr>
                <w:noProof/>
              </w:rPr>
              <w:drawing>
                <wp:inline distT="0" distB="0" distL="0" distR="0">
                  <wp:extent cx="6726936" cy="4846321"/>
                  <wp:effectExtent l="0" t="0" r="0" b="0"/>
                  <wp:docPr id="973968" name="Picture 973968"/>
                  <wp:cNvGraphicFramePr/>
                  <a:graphic xmlns:a="http://schemas.openxmlformats.org/drawingml/2006/main">
                    <a:graphicData uri="http://schemas.openxmlformats.org/drawingml/2006/picture">
                      <pic:pic xmlns:pic="http://schemas.openxmlformats.org/drawingml/2006/picture">
                        <pic:nvPicPr>
                          <pic:cNvPr id="973968" name="Picture 973968"/>
                          <pic:cNvPicPr/>
                        </pic:nvPicPr>
                        <pic:blipFill>
                          <a:blip r:embed="rId21"/>
                          <a:stretch>
                            <a:fillRect/>
                          </a:stretch>
                        </pic:blipFill>
                        <pic:spPr>
                          <a:xfrm>
                            <a:off x="0" y="0"/>
                            <a:ext cx="6726936" cy="4846321"/>
                          </a:xfrm>
                          <a:prstGeom prst="rect">
                            <a:avLst/>
                          </a:prstGeom>
                        </pic:spPr>
                      </pic:pic>
                    </a:graphicData>
                  </a:graphic>
                </wp:inline>
              </w:drawing>
            </w:r>
          </w:p>
          <w:p w:rsidR="00283279" w:rsidRDefault="003F719C">
            <w:pPr>
              <w:spacing w:after="0" w:line="259" w:lineRule="auto"/>
              <w:ind w:left="18" w:right="0" w:firstLine="0"/>
              <w:jc w:val="left"/>
            </w:pPr>
            <w:r>
              <w:rPr>
                <w:rFonts w:ascii="Calibri" w:eastAsia="Calibri" w:hAnsi="Calibri" w:cs="Calibri"/>
                <w:b/>
                <w:i/>
                <w:sz w:val="14"/>
              </w:rPr>
              <w:t>Figu</w:t>
            </w:r>
            <w:r>
              <w:rPr>
                <w:rFonts w:ascii="Calibri" w:eastAsia="Calibri" w:hAnsi="Calibri" w:cs="Calibri"/>
                <w:b/>
                <w:i/>
                <w:sz w:val="14"/>
              </w:rPr>
              <w:t xml:space="preserve">re 4: </w:t>
            </w:r>
            <w:r>
              <w:rPr>
                <w:rFonts w:ascii="Calibri" w:eastAsia="Calibri" w:hAnsi="Calibri" w:cs="Calibri"/>
                <w:b/>
                <w:sz w:val="14"/>
              </w:rPr>
              <w:t>Relationship between MR and GR given 11-day lag (A), with GR (B), progression of MR (C), and new confirmed cases (D)</w:t>
            </w:r>
          </w:p>
          <w:p w:rsidR="00283279" w:rsidRDefault="003F719C">
            <w:pPr>
              <w:spacing w:after="0" w:line="259" w:lineRule="auto"/>
              <w:ind w:left="18" w:right="0" w:firstLine="0"/>
              <w:jc w:val="left"/>
            </w:pPr>
            <w:r>
              <w:rPr>
                <w:rFonts w:ascii="Calibri" w:eastAsia="Calibri" w:hAnsi="Calibri" w:cs="Calibri"/>
                <w:sz w:val="14"/>
              </w:rPr>
              <w:t>Correlations found to be significant at a 95% CI. Dates of state-level stay-at-home orders are shown as vertical dashed red lines, an</w:t>
            </w:r>
            <w:r>
              <w:rPr>
                <w:rFonts w:ascii="Calibri" w:eastAsia="Calibri" w:hAnsi="Calibri" w:cs="Calibri"/>
                <w:sz w:val="14"/>
              </w:rPr>
              <w:t>d local-level social distancing orders are shown as dashed blue lines. The dots represent the raw data, and the plotted lines are smoothed using a generalised additive model. GR=growth rate ratio. MR=mobility ratio.</w:t>
            </w:r>
          </w:p>
        </w:tc>
      </w:tr>
    </w:tbl>
    <w:p w:rsidR="00283279" w:rsidRDefault="003F719C">
      <w:pPr>
        <w:ind w:right="30"/>
      </w:pPr>
      <w:r>
        <w:t>stay-at-home directives, with an average difference of 7·3 days.</w:t>
      </w:r>
    </w:p>
    <w:p w:rsidR="00283279" w:rsidRDefault="003F719C">
      <w:pPr>
        <w:ind w:left="1644" w:right="30" w:firstLine="142"/>
      </w:pPr>
      <w:r>
        <w:t>Using MR and GR, we evaluated how social distancing influenced the rate of new infections in the 25 counties with the highest number of confirmed cases on April 16, 2020, by fitting a GLM mod</w:t>
      </w:r>
      <w:r>
        <w:t>el for each county (and one for all counties), using lagged MR as a predictor of COVID-19 growth rate. An optimal lag of 11 days, with a window of 9–12 days was identified (figure 3; table). Furthermore, the correlation remained above 0·7 for up to 20 days</w:t>
      </w:r>
      <w:r>
        <w:t>. This lag was the period separating the beginning of social distancing and onset of case growth reduction. An interval of this length was consistent with the  estimated 4-day to 5-day (median) incubation period of severe acute respiratory syndrome coronav</w:t>
      </w:r>
      <w:r>
        <w:t>irus 2 plus additional time for reporting.</w:t>
      </w:r>
      <w:r>
        <w:rPr>
          <w:sz w:val="14"/>
          <w:vertAlign w:val="superscript"/>
        </w:rPr>
        <w:t>15–17</w:t>
      </w:r>
      <w:r>
        <w:t xml:space="preserve"> The CIs shown on the curve of figure 3</w:t>
      </w:r>
      <w:r>
        <w:rPr>
          <w:b/>
        </w:rPr>
        <w:t xml:space="preserve"> </w:t>
      </w:r>
      <w:r>
        <w:t>illustrate that this estimated lag interval was robust and consistent across multiple counties.</w:t>
      </w:r>
    </w:p>
    <w:p w:rsidR="00283279" w:rsidRDefault="003F719C">
      <w:pPr>
        <w:ind w:left="-15" w:right="30" w:firstLine="142"/>
      </w:pPr>
      <w:r>
        <w:t>The county-specific correlations between MR and GR, for an 11-day lag, al</w:t>
      </w:r>
      <w:r>
        <w:t>ongside the computed GR, MR, and number of daily COVID-19 cases from March 16 to May 4, are illustrated in figure 4. The case data show the number of new daily cases for all 25 counties increases through March, then slows in April in many counties, and beg</w:t>
      </w:r>
      <w:r>
        <w:t>ins decreasing in some counties. During the same period, MR steadily decreases, specifically during the second half of March, before stabilising for most locations in early April, followed by a slight increase throughout April.</w:t>
      </w:r>
    </w:p>
    <w:p w:rsidR="00283279" w:rsidRDefault="003F719C">
      <w:pPr>
        <w:ind w:left="-15" w:right="30" w:firstLine="142"/>
      </w:pPr>
      <w:r>
        <w:t xml:space="preserve">In almost all counties, the </w:t>
      </w:r>
      <w:r>
        <w:t>initial decline in MR began before any formal regulation was put in place (figure 4; appendix pp 8–9</w:t>
      </w:r>
      <w:r>
        <w:rPr>
          <w:b/>
        </w:rPr>
        <w:t>)</w:t>
      </w:r>
      <w:r>
        <w:t>. The GR showed a general decreasing trend for all locations through March, stabilising around 1 in April, which was consistent with the case curves. All c</w:t>
      </w:r>
      <w:r>
        <w:t xml:space="preserve">orrelations were significant at a 95% CI, with Pearson correlation coefficients for 20 of the 25 counties above 0·7 (table). These high correlations suggest that social distancing had a significant effect on the spread of COVID-19. Some exceptions include </w:t>
      </w:r>
      <w:r>
        <w:t xml:space="preserve">Orleans, LA </w:t>
      </w:r>
    </w:p>
    <w:p w:rsidR="00283279" w:rsidRDefault="003F719C">
      <w:pPr>
        <w:ind w:left="-5" w:right="30"/>
      </w:pPr>
      <w:r>
        <w:t>(correlation coefficient of 0·61), which can be attributed to an outbreak that emerged before social distancing was common practice, and Harris County, TX (correlation coefficient of 0·53), which was probably underestimated because of limited testing rates</w:t>
      </w:r>
      <w:r>
        <w:t xml:space="preserve"> in Texas.</w:t>
      </w:r>
      <w:r>
        <w:rPr>
          <w:sz w:val="14"/>
          <w:vertAlign w:val="superscript"/>
        </w:rPr>
        <w:t>18</w:t>
      </w:r>
      <w:r>
        <w:t xml:space="preserve"> The results of a single model that includes all counties is listed in the table, and is consistent with the individual county-level analysis. The consistency across results suggests the results are robust, and transferable to other locations i</w:t>
      </w:r>
      <w:r>
        <w:t>n the USA, thus providing a more generalised finding about the effect of social distancing on case growth rates within the USA.</w:t>
      </w:r>
    </w:p>
    <w:p w:rsidR="00283279" w:rsidRDefault="003F719C">
      <w:pPr>
        <w:spacing w:after="214"/>
        <w:ind w:left="-15" w:right="30" w:firstLine="142"/>
      </w:pPr>
      <w:r>
        <w:t>We repeated the equivalent evaluation method at the state level, using aggregated case reports from all the counties within each</w:t>
      </w:r>
      <w:r>
        <w:t xml:space="preserve"> state. The results were consistent with the county-level analysis, revealing a 9–12-day lag window (appendix p 10), and displaying similarly high correlations between MR and GR (appendix p 11). The lowest correlation, 0·7, was observed for Massachusetts, </w:t>
      </w:r>
      <w:r>
        <w:t>which was likely a result of spatial variability, specifically with regards to the state of the outbreak, testing capabilities, and varied degrees of behavioural change associated with social distancing measures.</w:t>
      </w:r>
    </w:p>
    <w:p w:rsidR="00283279" w:rsidRDefault="003F719C">
      <w:pPr>
        <w:pStyle w:val="Heading1"/>
        <w:ind w:left="-5"/>
      </w:pPr>
      <w:r>
        <w:t>Discussion</w:t>
      </w:r>
    </w:p>
    <w:p w:rsidR="00283279" w:rsidRDefault="003F719C">
      <w:pPr>
        <w:ind w:left="-5" w:right="30"/>
      </w:pPr>
      <w:r>
        <w:t>The USA has enacted a complex co</w:t>
      </w:r>
      <w:r>
        <w:t>mbination of responses to COVID-19. Government policy varies in space, scale, and time (table; appendix pp 14–18), resulting in varied patterns of movement and behavioural changes throughout the country. Simultaneously, the progression and intensity of loc</w:t>
      </w:r>
      <w:r>
        <w:t>al outbreaks differs markedly by location. This landscape makes quantifying the effect of social distancing on COVID-19 spread a nontrivial task. Nevertheless, our method captured relevant trends in human behaviour as it related to the spread of the diseas</w:t>
      </w:r>
      <w:r>
        <w:t>e. Because our analysis used real-time mobility data, we captured the dynamics of social distancing without relying on assumed efficacy of shelter-in-place orders. Additionally, we used the real-world frequency of trips, not extrapolated transmission rates</w:t>
      </w:r>
      <w:r>
        <w:t xml:space="preserve"> or travel distances, as our mobility indicator. This means our mobility metric was driven by how much people actually moved between and within counties. Because our case data consist of reported cases at the county level, our analysis is a powerful compar</w:t>
      </w:r>
      <w:r>
        <w:t>ison of actual human behaviour and the documented status of COVID-19 in the USA.</w:t>
      </w:r>
    </w:p>
    <w:p w:rsidR="00283279" w:rsidRDefault="003F719C">
      <w:pPr>
        <w:ind w:left="-15" w:right="30" w:firstLine="142"/>
      </w:pPr>
      <w:r>
        <w:t>Our results used this real-world data to show a strong and statistically significant correlation between social distancing, quantified by mobility patterns, and reduction of C</w:t>
      </w:r>
      <w:r>
        <w:t>OVID-19 case growth. Importantly, our statistical analysis revealed that the effect of social distancing on decreasing transmission is not likely to be perceptible for at least 9–12 days after implementation, and might be longer. This lag time reflects the</w:t>
      </w:r>
      <w:r>
        <w:t xml:space="preserve"> time for symptoms to manifest after infection, worsen, and be reported. </w:t>
      </w:r>
    </w:p>
    <w:p w:rsidR="00283279" w:rsidRDefault="003F719C">
      <w:pPr>
        <w:ind w:left="-5" w:right="1644"/>
      </w:pPr>
      <w:r>
        <w:t xml:space="preserve">Besides emphasising its necessity, this study also revealed that social distancing (and outbreak growth deceler ation) in the counties most affected by COVID-19 was driven primarily </w:t>
      </w:r>
      <w:r>
        <w:t>by changes in individual-level behaviour and local-level regulations; the state (and federal) actions were implemented either too late (or not at all). The motivation behind the individual-level behavioural changes requires further study, but could possibl</w:t>
      </w:r>
      <w:r>
        <w:t>y be attributed to educational and data-tracking resources, as well as media and information sharing, which might vary substantially by information source, location, and time. These findings show that it is within the power of each US resident, even withou</w:t>
      </w:r>
      <w:r>
        <w:t>t government mandates, to help slow the spread of COVID-19. Crucially, if individual-level and local actions were not taken, and social distancing behaviour was delayed until the state-level directives were implemented, COVID-19 would have been able to cir</w:t>
      </w:r>
      <w:r>
        <w:t xml:space="preserve">culate unmitigated for additional weeks in most locations, inevitably resulting in more infections and deaths. Additionally, the strong relation ship between social distancing and reduced case growth rates suggests that a return to baseline mobility poses </w:t>
      </w:r>
      <w:r>
        <w:t>a significant risk of increased infections, which will probably not appear for up to 3 weeks after the mobility increases. However, practices such as handwashing, face mask use, and self-isolation when sick might help to mitigate future case growth, even u</w:t>
      </w:r>
      <w:r>
        <w:t>nder more normal mobility patterns, and these behaviours might be more widespread in the future than they were during the initial months of the pandemic in the USA.</w:t>
      </w:r>
    </w:p>
    <w:p w:rsidR="00283279" w:rsidRDefault="003F719C">
      <w:pPr>
        <w:ind w:left="-15" w:right="1644" w:firstLine="142"/>
      </w:pPr>
      <w:r>
        <w:t>This study has multiple limitations. First, we focused on quantifying the relationship betw</w:t>
      </w:r>
      <w:r>
        <w:t xml:space="preserve">een mobility patterns and case growth rates; therefore, the role of other potential mitigating factors (eg, wearing face masks and handwashing) that could also have contributed to the decline in the case growth rate observed during March are not accounted </w:t>
      </w:r>
      <w:r>
        <w:t>for. However, without detailed countylevel compliance data for each type of mitigating action, we were unable to model the relative effect of each factor. Similarly, our travel data did not enable us to identify trip purpose, and therefore we did not diffe</w:t>
      </w:r>
      <w:r>
        <w:t>rentiate between low-risk and high-risk trips—eg, multiple trips alone to a park are probably lower risk than a single unmitigated trip to a grocery store. Although these topics are outside the scope of this study, they are critical to our understanding of</w:t>
      </w:r>
      <w:r>
        <w:t xml:space="preserve"> COVID-19 transmission risk, and require further exploration. Second, we used the GR as our representative variable for the degree of transmission occurring in a region. We believe this variable is an intuitive and representative estimate for the spread of</w:t>
      </w:r>
      <w:r>
        <w:t xml:space="preserve"> COVID-19 among a local population, but future extensions of this analysis should explore replacing this variable with more traditional transmission indexes commonly used in infectious disease epidemiology. Third, the case data might have errors due to bot</w:t>
      </w:r>
      <w:r>
        <w:t xml:space="preserve">h reporting issues and limited testing capacity, especially in early March before widespread testing was underway. </w:t>
      </w:r>
    </w:p>
    <w:p w:rsidR="00283279" w:rsidRDefault="003F719C">
      <w:pPr>
        <w:ind w:right="30"/>
      </w:pPr>
      <w:r>
        <w:t xml:space="preserve">We partly address this issue by starting our analysis on March 16, as well as using a 3-day moving average for the case data. Fourth, the analysis was focused on 25 counties, which might be a biased sample of locations; however, we believe these locations </w:t>
      </w:r>
      <w:r>
        <w:t xml:space="preserve">accurately capture the relationship between mobility patterns and case growth rates. The consistency among the estimated model parameters presented in the table suggests that the results are generalisable and might be transferred to other locations in the </w:t>
      </w:r>
      <w:r>
        <w:t>USA and abroad. In addition, our results are consistent at both the county and state level. Finally, the data used in this analysis do not include sociodemographic information; therefore, it might not representatively capture all groups, such as older adul</w:t>
      </w:r>
      <w:r>
        <w:t>ts and individuals with chronic medical disorders and comorbidities, lowincome groups, and other traditionally underserved communities, for whom social distancing might be difficult to maintain.</w:t>
      </w:r>
    </w:p>
    <w:p w:rsidR="00283279" w:rsidRDefault="003F719C">
      <w:pPr>
        <w:spacing w:after="34"/>
        <w:ind w:left="1644" w:right="30" w:firstLine="142"/>
      </w:pPr>
      <w:r>
        <w:t>Our results strongly support the conclusion that social dista</w:t>
      </w:r>
      <w:r>
        <w:t>ncing played a crucial role in the reduction of case growth rates in multiple US counties during March and April. It might be difficult to recognise the value in safe behaviour when the reward is not obvious, and the danger is not immediate. This is partic</w:t>
      </w:r>
      <w:r>
        <w:t>ularly true given the economic and social repercussions of the COVID-19 response. Nevertheless, given the absence of proven antiviral drugs or a vaccine, social distancing is one of the most important and timely ways to combat the spread of COVID-19.</w:t>
      </w:r>
      <w:r>
        <w:rPr>
          <w:sz w:val="14"/>
          <w:vertAlign w:val="superscript"/>
        </w:rPr>
        <w:t>19,20</w:t>
      </w:r>
      <w:r>
        <w:t xml:space="preserve"> </w:t>
      </w:r>
      <w:r>
        <w:t>These findings also highlight the difference in pandemic control policy between the USA and China, and should serve to support more timely policy making in the USA in the future. This finding is particularly relevant as the USA begins to loosen stay-at-hom</w:t>
      </w:r>
      <w:r>
        <w:t xml:space="preserve">e orders, once again doing so in a highly decentralised manner. As we continue to  grapple with the ramifications of the COVID-19 pandemic on our health, society, and economy, we hope that our results will motivate both individuals and governments to make </w:t>
      </w:r>
      <w:r>
        <w:t>safe and data-driven decisions, and acknowledge the effect these choices have on all of our communities.</w:t>
      </w:r>
    </w:p>
    <w:p w:rsidR="00283279" w:rsidRDefault="003F719C">
      <w:pPr>
        <w:pStyle w:val="Heading2"/>
        <w:ind w:left="1647"/>
      </w:pPr>
      <w:r>
        <w:rPr>
          <w:sz w:val="14"/>
        </w:rPr>
        <w:t>Contributors</w:t>
      </w:r>
    </w:p>
    <w:p w:rsidR="00283279" w:rsidRDefault="003F719C">
      <w:pPr>
        <w:spacing w:after="91" w:line="248" w:lineRule="auto"/>
        <w:ind w:left="1644" w:right="0" w:firstLine="0"/>
        <w:jc w:val="left"/>
      </w:pPr>
      <w:r>
        <w:rPr>
          <w:sz w:val="14"/>
        </w:rPr>
        <w:t>LMG conceived</w:t>
      </w:r>
      <w:r>
        <w:rPr>
          <w:b/>
          <w:sz w:val="14"/>
        </w:rPr>
        <w:t xml:space="preserve"> </w:t>
      </w:r>
      <w:r>
        <w:rPr>
          <w:sz w:val="14"/>
        </w:rPr>
        <w:t xml:space="preserve">and supervised the study. HSB and LMG designed the experiments and analysed the model results. HSB developed the model, did </w:t>
      </w:r>
      <w:r>
        <w:rPr>
          <w:sz w:val="14"/>
        </w:rPr>
        <w:t>the computational analysis, and prepared all figures. ED, HD, and MMS collected, processed, analysed, and contributed data. HSB, MM, MMS, and LMG drafted the original Article. All authors contributed to the editing of the Article. All authors read and appr</w:t>
      </w:r>
      <w:r>
        <w:rPr>
          <w:sz w:val="14"/>
        </w:rPr>
        <w:t>oved the final Article.</w:t>
      </w:r>
    </w:p>
    <w:p w:rsidR="00283279" w:rsidRDefault="003F719C">
      <w:pPr>
        <w:spacing w:after="91" w:line="248" w:lineRule="auto"/>
        <w:ind w:left="1644" w:right="2261" w:firstLine="0"/>
        <w:jc w:val="left"/>
      </w:pPr>
      <w:r>
        <w:rPr>
          <w:rFonts w:ascii="Calibri" w:eastAsia="Calibri" w:hAnsi="Calibri" w:cs="Calibri"/>
          <w:b/>
          <w:sz w:val="14"/>
        </w:rPr>
        <w:t xml:space="preserve">Declaration of interests </w:t>
      </w:r>
      <w:r>
        <w:rPr>
          <w:sz w:val="14"/>
        </w:rPr>
        <w:t>We declare no competing interests.</w:t>
      </w:r>
    </w:p>
    <w:p w:rsidR="00283279" w:rsidRDefault="003F719C">
      <w:pPr>
        <w:pStyle w:val="Heading2"/>
        <w:ind w:left="1647"/>
      </w:pPr>
      <w:r>
        <w:rPr>
          <w:sz w:val="14"/>
        </w:rPr>
        <w:t>References</w:t>
      </w:r>
    </w:p>
    <w:p w:rsidR="00283279" w:rsidRDefault="003F719C">
      <w:pPr>
        <w:numPr>
          <w:ilvl w:val="0"/>
          <w:numId w:val="1"/>
        </w:numPr>
        <w:spacing w:after="21" w:line="248" w:lineRule="auto"/>
        <w:ind w:right="0" w:hanging="284"/>
        <w:jc w:val="left"/>
      </w:pPr>
      <w:r>
        <w:rPr>
          <w:sz w:val="14"/>
        </w:rPr>
        <w:t>WHO. Pneumonia of unknown cause–China. Jan 5, 2020. Geneva: World Health Organization, 2020. https://www.who.int/csr/don/05january-2020-pneumonia-of-unkown-cause</w:t>
      </w:r>
      <w:r>
        <w:rPr>
          <w:sz w:val="14"/>
        </w:rPr>
        <w:t>-china (accessed April 16, 2020).</w:t>
      </w:r>
    </w:p>
    <w:p w:rsidR="00283279" w:rsidRDefault="003F719C">
      <w:pPr>
        <w:numPr>
          <w:ilvl w:val="0"/>
          <w:numId w:val="1"/>
        </w:numPr>
        <w:spacing w:after="21" w:line="248" w:lineRule="auto"/>
        <w:ind w:right="0" w:hanging="284"/>
        <w:jc w:val="left"/>
      </w:pPr>
      <w:r>
        <w:rPr>
          <w:sz w:val="14"/>
        </w:rPr>
        <w:t>WHO. Novel coronavirus–China; emergencies preparedness, response. Jan 12, 2020. Geneva: World Health Organization, 2020. https://www.who.int/csr/don/12-january-2020-novel-coronaviruschina (accessed April 16, 2020).</w:t>
      </w:r>
    </w:p>
    <w:p w:rsidR="00283279" w:rsidRDefault="003F719C">
      <w:pPr>
        <w:numPr>
          <w:ilvl w:val="0"/>
          <w:numId w:val="1"/>
        </w:numPr>
        <w:spacing w:after="21" w:line="248" w:lineRule="auto"/>
        <w:ind w:right="0" w:hanging="284"/>
        <w:jc w:val="left"/>
      </w:pPr>
      <w:r>
        <w:rPr>
          <w:sz w:val="14"/>
        </w:rPr>
        <w:t>WHO. Co</w:t>
      </w:r>
      <w:r>
        <w:rPr>
          <w:sz w:val="14"/>
        </w:rPr>
        <w:t xml:space="preserve">ronavirus disease 2019 (COVID-2019). Situation report 106. May 5, 2020. Geneva: World Health Organization, 2020. </w:t>
      </w:r>
    </w:p>
    <w:p w:rsidR="00283279" w:rsidRDefault="003F719C">
      <w:pPr>
        <w:spacing w:after="21" w:line="248" w:lineRule="auto"/>
        <w:ind w:left="283" w:right="0" w:firstLine="0"/>
        <w:jc w:val="left"/>
      </w:pPr>
      <w:r>
        <w:rPr>
          <w:sz w:val="14"/>
        </w:rPr>
        <w:t>https://www.who.int/emergencies/diseases/novelcoronavirus-2019/situation-reports (accessed April 16, 2020).</w:t>
      </w:r>
    </w:p>
    <w:p w:rsidR="00283279" w:rsidRDefault="003F719C">
      <w:pPr>
        <w:numPr>
          <w:ilvl w:val="0"/>
          <w:numId w:val="1"/>
        </w:numPr>
        <w:spacing w:after="21" w:line="248" w:lineRule="auto"/>
        <w:ind w:right="0" w:hanging="284"/>
        <w:jc w:val="left"/>
      </w:pPr>
      <w:r>
        <w:rPr>
          <w:sz w:val="14"/>
        </w:rPr>
        <w:t xml:space="preserve">Holshue ML DeBolt C, Lingquist S, </w:t>
      </w:r>
      <w:r>
        <w:rPr>
          <w:sz w:val="14"/>
        </w:rPr>
        <w:t>et al. Washington State 2019-nCov case investigation team, first case of 2019 novel coronavirus in the United States</w:t>
      </w:r>
      <w:r>
        <w:rPr>
          <w:i/>
          <w:sz w:val="14"/>
        </w:rPr>
        <w:t>.</w:t>
      </w:r>
      <w:r>
        <w:rPr>
          <w:sz w:val="14"/>
        </w:rPr>
        <w:t xml:space="preserve"> </w:t>
      </w:r>
      <w:r>
        <w:rPr>
          <w:i/>
          <w:sz w:val="14"/>
        </w:rPr>
        <w:t>N Engl J Med</w:t>
      </w:r>
      <w:r>
        <w:rPr>
          <w:sz w:val="14"/>
        </w:rPr>
        <w:t xml:space="preserve"> 2020; </w:t>
      </w:r>
      <w:r>
        <w:rPr>
          <w:b/>
          <w:sz w:val="14"/>
        </w:rPr>
        <w:t>382:</w:t>
      </w:r>
      <w:r>
        <w:rPr>
          <w:sz w:val="14"/>
        </w:rPr>
        <w:t xml:space="preserve"> 929–36.</w:t>
      </w:r>
    </w:p>
    <w:p w:rsidR="00283279" w:rsidRDefault="003F719C">
      <w:pPr>
        <w:numPr>
          <w:ilvl w:val="0"/>
          <w:numId w:val="1"/>
        </w:numPr>
        <w:spacing w:after="21" w:line="248" w:lineRule="auto"/>
        <w:ind w:right="0" w:hanging="284"/>
        <w:jc w:val="left"/>
      </w:pPr>
      <w:r>
        <w:rPr>
          <w:sz w:val="14"/>
        </w:rPr>
        <w:t xml:space="preserve">Dong E, Du H, Gardner L. An interactive web-based dashboard to track COVID-19 in real time. </w:t>
      </w:r>
      <w:r>
        <w:rPr>
          <w:i/>
          <w:sz w:val="14"/>
        </w:rPr>
        <w:t xml:space="preserve">Lancet Infect </w:t>
      </w:r>
      <w:r>
        <w:rPr>
          <w:i/>
          <w:sz w:val="14"/>
        </w:rPr>
        <w:t>Dis</w:t>
      </w:r>
      <w:r>
        <w:rPr>
          <w:sz w:val="14"/>
        </w:rPr>
        <w:t xml:space="preserve"> 2020; </w:t>
      </w:r>
      <w:r>
        <w:rPr>
          <w:b/>
          <w:sz w:val="14"/>
        </w:rPr>
        <w:t>20:</w:t>
      </w:r>
      <w:r>
        <w:rPr>
          <w:sz w:val="14"/>
        </w:rPr>
        <w:t xml:space="preserve"> 533–54.</w:t>
      </w:r>
    </w:p>
    <w:p w:rsidR="00283279" w:rsidRDefault="003F719C">
      <w:pPr>
        <w:numPr>
          <w:ilvl w:val="0"/>
          <w:numId w:val="1"/>
        </w:numPr>
        <w:spacing w:after="21" w:line="248" w:lineRule="auto"/>
        <w:ind w:right="0" w:hanging="284"/>
        <w:jc w:val="left"/>
      </w:pPr>
      <w:r>
        <w:rPr>
          <w:sz w:val="14"/>
        </w:rPr>
        <w:t xml:space="preserve">Bi Q, Wu Y, Mei S, et al. Epidemiology and transmission of COVID-19 in 391 cases and 1286 of their close contacts in </w:t>
      </w:r>
    </w:p>
    <w:p w:rsidR="00283279" w:rsidRDefault="003F719C">
      <w:pPr>
        <w:spacing w:after="21" w:line="248" w:lineRule="auto"/>
        <w:ind w:left="283" w:right="0" w:firstLine="0"/>
        <w:jc w:val="left"/>
      </w:pPr>
      <w:r>
        <w:rPr>
          <w:sz w:val="14"/>
        </w:rPr>
        <w:t xml:space="preserve">Shenzhen, China: a retrospective cohort study. </w:t>
      </w:r>
      <w:r>
        <w:rPr>
          <w:i/>
          <w:sz w:val="14"/>
        </w:rPr>
        <w:t>Lancet Infect Dis</w:t>
      </w:r>
      <w:r>
        <w:rPr>
          <w:sz w:val="14"/>
        </w:rPr>
        <w:t xml:space="preserve"> 2020; published online April 27. https://doi.org/10</w:t>
      </w:r>
      <w:r>
        <w:rPr>
          <w:sz w:val="14"/>
        </w:rPr>
        <w:t>.1016/ S1473-3099(20)30287-5.</w:t>
      </w:r>
    </w:p>
    <w:p w:rsidR="00283279" w:rsidRDefault="003F719C">
      <w:pPr>
        <w:numPr>
          <w:ilvl w:val="0"/>
          <w:numId w:val="1"/>
        </w:numPr>
        <w:spacing w:after="21" w:line="248" w:lineRule="auto"/>
        <w:ind w:right="0" w:hanging="284"/>
        <w:jc w:val="left"/>
      </w:pPr>
      <w:r>
        <w:rPr>
          <w:sz w:val="14"/>
        </w:rPr>
        <w:t xml:space="preserve">Kraemer MUG, Yang C, Gutierrez B, et al. The effect of human mobility and control measures on the COVID-19 epidemic in China. </w:t>
      </w:r>
      <w:r>
        <w:rPr>
          <w:i/>
          <w:sz w:val="14"/>
        </w:rPr>
        <w:t>Science</w:t>
      </w:r>
      <w:r>
        <w:rPr>
          <w:sz w:val="14"/>
        </w:rPr>
        <w:t xml:space="preserve"> 2020; </w:t>
      </w:r>
      <w:r>
        <w:rPr>
          <w:b/>
          <w:sz w:val="14"/>
        </w:rPr>
        <w:t>368:</w:t>
      </w:r>
      <w:r>
        <w:rPr>
          <w:sz w:val="14"/>
        </w:rPr>
        <w:t xml:space="preserve"> 493–97.</w:t>
      </w:r>
    </w:p>
    <w:p w:rsidR="00283279" w:rsidRDefault="003F719C">
      <w:pPr>
        <w:numPr>
          <w:ilvl w:val="0"/>
          <w:numId w:val="1"/>
        </w:numPr>
        <w:spacing w:after="21" w:line="248" w:lineRule="auto"/>
        <w:ind w:right="0" w:hanging="284"/>
        <w:jc w:val="left"/>
      </w:pPr>
      <w:r>
        <w:rPr>
          <w:sz w:val="14"/>
        </w:rPr>
        <w:t>Zhao S, Zhuang Z, Cao P, et al. Quantifying the association between domes</w:t>
      </w:r>
      <w:r>
        <w:rPr>
          <w:sz w:val="14"/>
        </w:rPr>
        <w:t xml:space="preserve">tic travel and the exportation of novel coronavirus (2019-nCov) cases from Wuhan, China in 2020: a correlational analysis. </w:t>
      </w:r>
      <w:r>
        <w:rPr>
          <w:i/>
          <w:sz w:val="14"/>
        </w:rPr>
        <w:t>J Travel Med</w:t>
      </w:r>
      <w:r>
        <w:rPr>
          <w:sz w:val="14"/>
        </w:rPr>
        <w:t xml:space="preserve"> 2020; </w:t>
      </w:r>
      <w:r>
        <w:rPr>
          <w:b/>
          <w:sz w:val="14"/>
        </w:rPr>
        <w:t xml:space="preserve">27: </w:t>
      </w:r>
      <w:r>
        <w:rPr>
          <w:sz w:val="14"/>
        </w:rPr>
        <w:t>1–3.</w:t>
      </w:r>
    </w:p>
    <w:p w:rsidR="00283279" w:rsidRDefault="003F719C">
      <w:pPr>
        <w:numPr>
          <w:ilvl w:val="0"/>
          <w:numId w:val="1"/>
        </w:numPr>
        <w:spacing w:after="21" w:line="248" w:lineRule="auto"/>
        <w:ind w:right="0" w:hanging="284"/>
        <w:jc w:val="left"/>
      </w:pPr>
      <w:r>
        <w:rPr>
          <w:sz w:val="14"/>
        </w:rPr>
        <w:t xml:space="preserve">Tian H, Liu Y, Li Y, et al. An investigation of transmission control measures during the first 50 days of the COVID-19 epidemic in China. </w:t>
      </w:r>
      <w:r>
        <w:rPr>
          <w:i/>
          <w:sz w:val="14"/>
        </w:rPr>
        <w:t xml:space="preserve">Science </w:t>
      </w:r>
      <w:r>
        <w:rPr>
          <w:sz w:val="14"/>
        </w:rPr>
        <w:t xml:space="preserve">2020; </w:t>
      </w:r>
      <w:r>
        <w:rPr>
          <w:b/>
          <w:sz w:val="14"/>
        </w:rPr>
        <w:t>368</w:t>
      </w:r>
      <w:r>
        <w:rPr>
          <w:sz w:val="14"/>
        </w:rPr>
        <w:t>: 638–42.</w:t>
      </w:r>
    </w:p>
    <w:p w:rsidR="00283279" w:rsidRDefault="003F719C">
      <w:pPr>
        <w:numPr>
          <w:ilvl w:val="0"/>
          <w:numId w:val="1"/>
        </w:numPr>
        <w:spacing w:after="21" w:line="248" w:lineRule="auto"/>
        <w:ind w:right="0" w:hanging="284"/>
        <w:jc w:val="left"/>
      </w:pPr>
      <w:r>
        <w:rPr>
          <w:sz w:val="14"/>
        </w:rPr>
        <w:t>Chinazzi M, Davis JT, Ajelli M. et al. The effect of travel restrictions on the spread of t</w:t>
      </w:r>
      <w:r>
        <w:rPr>
          <w:sz w:val="14"/>
        </w:rPr>
        <w:t xml:space="preserve">he 2019 novel coronavirus (COVID-19) outbreak. </w:t>
      </w:r>
      <w:r>
        <w:rPr>
          <w:i/>
          <w:sz w:val="14"/>
        </w:rPr>
        <w:t xml:space="preserve">Science </w:t>
      </w:r>
      <w:r>
        <w:rPr>
          <w:sz w:val="14"/>
        </w:rPr>
        <w:t>2020;</w:t>
      </w:r>
      <w:r>
        <w:rPr>
          <w:i/>
          <w:sz w:val="14"/>
        </w:rPr>
        <w:t xml:space="preserve"> </w:t>
      </w:r>
      <w:r>
        <w:rPr>
          <w:b/>
          <w:sz w:val="14"/>
        </w:rPr>
        <w:t>368:</w:t>
      </w:r>
      <w:r>
        <w:rPr>
          <w:sz w:val="14"/>
        </w:rPr>
        <w:t xml:space="preserve"> 395–400.</w:t>
      </w:r>
    </w:p>
    <w:p w:rsidR="00283279" w:rsidRDefault="003F719C">
      <w:pPr>
        <w:numPr>
          <w:ilvl w:val="0"/>
          <w:numId w:val="1"/>
        </w:numPr>
        <w:spacing w:after="21" w:line="248" w:lineRule="auto"/>
        <w:ind w:right="0" w:hanging="284"/>
        <w:jc w:val="left"/>
      </w:pPr>
      <w:r>
        <w:rPr>
          <w:sz w:val="14"/>
        </w:rPr>
        <w:t xml:space="preserve">Sjodin H, Wilder-Smith A, Osman S, Farooq Z, Rocklov J. Only strict quarantine measures can curb the coronvirus disease (COVID-19) outbreak in Italy, 2020. </w:t>
      </w:r>
      <w:r>
        <w:rPr>
          <w:i/>
          <w:sz w:val="14"/>
        </w:rPr>
        <w:t>Euro Surveill</w:t>
      </w:r>
      <w:r>
        <w:rPr>
          <w:sz w:val="14"/>
        </w:rPr>
        <w:t xml:space="preserve"> 2020; </w:t>
      </w:r>
      <w:r>
        <w:rPr>
          <w:b/>
          <w:sz w:val="14"/>
        </w:rPr>
        <w:t xml:space="preserve">25: </w:t>
      </w:r>
      <w:r>
        <w:rPr>
          <w:sz w:val="14"/>
        </w:rPr>
        <w:t>1–5.</w:t>
      </w:r>
    </w:p>
    <w:p w:rsidR="00283279" w:rsidRDefault="003F719C">
      <w:pPr>
        <w:numPr>
          <w:ilvl w:val="0"/>
          <w:numId w:val="1"/>
        </w:numPr>
        <w:spacing w:after="21" w:line="248" w:lineRule="auto"/>
        <w:ind w:right="0" w:hanging="284"/>
        <w:jc w:val="left"/>
      </w:pPr>
      <w:r>
        <w:rPr>
          <w:sz w:val="14"/>
        </w:rPr>
        <w:t xml:space="preserve">Kissler SM, Tedijanto C, Goldstein E, Grad YH, Lipsitch M. Projecting the transmission dynamics of SARS-CoV-2 through the postpandemic period. </w:t>
      </w:r>
      <w:r>
        <w:rPr>
          <w:i/>
          <w:sz w:val="14"/>
        </w:rPr>
        <w:t xml:space="preserve">Science </w:t>
      </w:r>
      <w:r>
        <w:rPr>
          <w:sz w:val="14"/>
        </w:rPr>
        <w:t xml:space="preserve">2020; </w:t>
      </w:r>
      <w:r>
        <w:rPr>
          <w:b/>
          <w:sz w:val="14"/>
        </w:rPr>
        <w:t xml:space="preserve">368: </w:t>
      </w:r>
      <w:r>
        <w:rPr>
          <w:sz w:val="14"/>
        </w:rPr>
        <w:t>860–68.</w:t>
      </w:r>
    </w:p>
    <w:p w:rsidR="00283279" w:rsidRDefault="003F719C">
      <w:pPr>
        <w:numPr>
          <w:ilvl w:val="0"/>
          <w:numId w:val="1"/>
        </w:numPr>
        <w:spacing w:after="21" w:line="248" w:lineRule="auto"/>
        <w:ind w:right="0" w:hanging="284"/>
        <w:jc w:val="left"/>
      </w:pPr>
      <w:r>
        <w:rPr>
          <w:sz w:val="14"/>
        </w:rPr>
        <w:t>Kucharski AJ, Russell TW, Diamond C, et al. Early dynamics and control of COVID-1</w:t>
      </w:r>
      <w:r>
        <w:rPr>
          <w:sz w:val="14"/>
        </w:rPr>
        <w:t>9: a mathematical modelling study.</w:t>
      </w:r>
      <w:r>
        <w:rPr>
          <w:i/>
          <w:sz w:val="14"/>
        </w:rPr>
        <w:t xml:space="preserve"> Lancet Inf Dis</w:t>
      </w:r>
      <w:r>
        <w:rPr>
          <w:sz w:val="14"/>
        </w:rPr>
        <w:t xml:space="preserve"> 2020; </w:t>
      </w:r>
      <w:r>
        <w:rPr>
          <w:b/>
          <w:sz w:val="14"/>
        </w:rPr>
        <w:t>20:</w:t>
      </w:r>
      <w:r>
        <w:rPr>
          <w:sz w:val="14"/>
        </w:rPr>
        <w:t xml:space="preserve"> 553–58.</w:t>
      </w:r>
    </w:p>
    <w:p w:rsidR="00283279" w:rsidRDefault="003F719C">
      <w:pPr>
        <w:numPr>
          <w:ilvl w:val="0"/>
          <w:numId w:val="1"/>
        </w:numPr>
        <w:spacing w:after="21" w:line="248" w:lineRule="auto"/>
        <w:ind w:right="0" w:hanging="284"/>
        <w:jc w:val="left"/>
      </w:pPr>
      <w:r>
        <w:rPr>
          <w:sz w:val="14"/>
        </w:rPr>
        <w:t xml:space="preserve">Buckee CO, Balsari, S, Chan J, et al. Aggregated mobility data could help fight COVID-19. </w:t>
      </w:r>
      <w:r>
        <w:rPr>
          <w:i/>
          <w:sz w:val="14"/>
        </w:rPr>
        <w:t xml:space="preserve">Science </w:t>
      </w:r>
      <w:r>
        <w:rPr>
          <w:sz w:val="14"/>
        </w:rPr>
        <w:t xml:space="preserve">2020; </w:t>
      </w:r>
      <w:r>
        <w:rPr>
          <w:b/>
          <w:sz w:val="14"/>
        </w:rPr>
        <w:t>368:</w:t>
      </w:r>
      <w:r>
        <w:rPr>
          <w:sz w:val="14"/>
        </w:rPr>
        <w:t xml:space="preserve"> 145–46.</w:t>
      </w:r>
    </w:p>
    <w:p w:rsidR="00283279" w:rsidRDefault="003F719C">
      <w:pPr>
        <w:numPr>
          <w:ilvl w:val="0"/>
          <w:numId w:val="1"/>
        </w:numPr>
        <w:spacing w:after="21" w:line="248" w:lineRule="auto"/>
        <w:ind w:right="0" w:hanging="284"/>
        <w:jc w:val="left"/>
      </w:pPr>
      <w:r>
        <w:rPr>
          <w:sz w:val="14"/>
        </w:rPr>
        <w:t>Guan WJ, Ni ZY, Hu Y. Clinical characteristics of coronavirus disease 2</w:t>
      </w:r>
      <w:r>
        <w:rPr>
          <w:sz w:val="14"/>
        </w:rPr>
        <w:t xml:space="preserve">019 in China. </w:t>
      </w:r>
      <w:r>
        <w:rPr>
          <w:i/>
          <w:sz w:val="14"/>
        </w:rPr>
        <w:t xml:space="preserve">N Engl J Med </w:t>
      </w:r>
      <w:r>
        <w:rPr>
          <w:sz w:val="14"/>
        </w:rPr>
        <w:t xml:space="preserve">2020; </w:t>
      </w:r>
      <w:r>
        <w:rPr>
          <w:b/>
          <w:sz w:val="14"/>
        </w:rPr>
        <w:t>382:</w:t>
      </w:r>
      <w:r>
        <w:rPr>
          <w:sz w:val="14"/>
        </w:rPr>
        <w:t xml:space="preserve"> 1708–20.</w:t>
      </w:r>
    </w:p>
    <w:p w:rsidR="00283279" w:rsidRDefault="003F719C">
      <w:pPr>
        <w:numPr>
          <w:ilvl w:val="0"/>
          <w:numId w:val="1"/>
        </w:numPr>
        <w:spacing w:after="21" w:line="248" w:lineRule="auto"/>
        <w:ind w:right="0" w:hanging="284"/>
        <w:jc w:val="left"/>
      </w:pPr>
      <w:r>
        <w:rPr>
          <w:sz w:val="14"/>
        </w:rPr>
        <w:t xml:space="preserve">Li Q, Guan X, Wu P, et al. Early transmission dynamics in Wuhan, China, of novel coronavirus–infected pneumonia. </w:t>
      </w:r>
      <w:r>
        <w:rPr>
          <w:i/>
          <w:sz w:val="14"/>
        </w:rPr>
        <w:t>N Engl J Med</w:t>
      </w:r>
      <w:r>
        <w:rPr>
          <w:sz w:val="14"/>
        </w:rPr>
        <w:t xml:space="preserve"> 2020; </w:t>
      </w:r>
      <w:r>
        <w:rPr>
          <w:b/>
          <w:sz w:val="14"/>
        </w:rPr>
        <w:t>382:</w:t>
      </w:r>
      <w:r>
        <w:rPr>
          <w:sz w:val="14"/>
        </w:rPr>
        <w:t xml:space="preserve"> 1199–207.</w:t>
      </w:r>
    </w:p>
    <w:p w:rsidR="00283279" w:rsidRDefault="003F719C">
      <w:pPr>
        <w:numPr>
          <w:ilvl w:val="0"/>
          <w:numId w:val="1"/>
        </w:numPr>
        <w:spacing w:after="21" w:line="248" w:lineRule="auto"/>
        <w:ind w:right="0" w:hanging="284"/>
        <w:jc w:val="left"/>
      </w:pPr>
      <w:r>
        <w:rPr>
          <w:sz w:val="14"/>
        </w:rPr>
        <w:t>Lauer SA, Grantz KH, Bi Q, et al. The incubation period of cor</w:t>
      </w:r>
      <w:r>
        <w:rPr>
          <w:sz w:val="14"/>
        </w:rPr>
        <w:t xml:space="preserve">onavirus disease 2019 (COVID-19) from publicly reported confirmed cases: estimation and application. </w:t>
      </w:r>
      <w:r>
        <w:rPr>
          <w:i/>
          <w:sz w:val="14"/>
        </w:rPr>
        <w:t>Ann Internal Med</w:t>
      </w:r>
      <w:r>
        <w:rPr>
          <w:sz w:val="14"/>
        </w:rPr>
        <w:t xml:space="preserve"> 2020; </w:t>
      </w:r>
      <w:r>
        <w:rPr>
          <w:b/>
          <w:sz w:val="14"/>
        </w:rPr>
        <w:t>172:</w:t>
      </w:r>
      <w:r>
        <w:rPr>
          <w:sz w:val="14"/>
        </w:rPr>
        <w:t xml:space="preserve"> 577–82.</w:t>
      </w:r>
    </w:p>
    <w:p w:rsidR="00283279" w:rsidRDefault="003F719C">
      <w:pPr>
        <w:numPr>
          <w:ilvl w:val="0"/>
          <w:numId w:val="1"/>
        </w:numPr>
        <w:spacing w:after="21" w:line="248" w:lineRule="auto"/>
        <w:ind w:right="0" w:hanging="284"/>
        <w:jc w:val="left"/>
      </w:pPr>
      <w:r>
        <w:rPr>
          <w:sz w:val="14"/>
        </w:rPr>
        <w:t xml:space="preserve">COVID Tracking Project. US COVID-19 testing data. 2020. </w:t>
      </w:r>
    </w:p>
    <w:p w:rsidR="00283279" w:rsidRDefault="003F719C">
      <w:pPr>
        <w:spacing w:after="21" w:line="248" w:lineRule="auto"/>
        <w:ind w:left="283" w:right="0" w:firstLine="0"/>
        <w:jc w:val="left"/>
      </w:pPr>
      <w:r>
        <w:rPr>
          <w:sz w:val="14"/>
        </w:rPr>
        <w:t>https://covidtracking.com (accessed May 27, 2020).</w:t>
      </w:r>
    </w:p>
    <w:p w:rsidR="00283279" w:rsidRDefault="003F719C">
      <w:pPr>
        <w:numPr>
          <w:ilvl w:val="0"/>
          <w:numId w:val="1"/>
        </w:numPr>
        <w:spacing w:after="21" w:line="248" w:lineRule="auto"/>
        <w:ind w:right="0" w:hanging="284"/>
        <w:jc w:val="left"/>
      </w:pPr>
      <w:r>
        <w:rPr>
          <w:sz w:val="14"/>
        </w:rPr>
        <w:t>US CDC. Soc</w:t>
      </w:r>
      <w:r>
        <w:rPr>
          <w:sz w:val="14"/>
        </w:rPr>
        <w:t>ial distancing. April 4, 2020. US Centers for Disease Control and Prevention, 2020. https://www.cdc.gov/ coronavirus/2019-ncov/prevent-getting-sick/social-distancing.html (accessed April 16, 2020).</w:t>
      </w:r>
    </w:p>
    <w:p w:rsidR="00283279" w:rsidRPr="00CD7805" w:rsidRDefault="003F719C">
      <w:pPr>
        <w:numPr>
          <w:ilvl w:val="0"/>
          <w:numId w:val="1"/>
        </w:numPr>
        <w:spacing w:after="21" w:line="248" w:lineRule="auto"/>
        <w:ind w:right="0" w:hanging="284"/>
        <w:jc w:val="left"/>
      </w:pPr>
      <w:r>
        <w:rPr>
          <w:sz w:val="14"/>
        </w:rPr>
        <w:t>WHO. Advice for public. March 18, 2020. Geneva: World Heal</w:t>
      </w:r>
      <w:r>
        <w:rPr>
          <w:sz w:val="14"/>
        </w:rPr>
        <w:t>th Organization, 2020. https://www.who.int/emergencies/diseases/ novel-coronavirus-2019/advice-for-public (accessed April 16, 2020).</w:t>
      </w:r>
    </w:p>
    <w:p w:rsidR="00CD7805" w:rsidRDefault="00CD7805" w:rsidP="00CD7805">
      <w:pPr>
        <w:spacing w:after="21" w:line="248" w:lineRule="auto"/>
        <w:ind w:right="0"/>
        <w:jc w:val="left"/>
        <w:rPr>
          <w:sz w:val="14"/>
        </w:rPr>
      </w:pPr>
    </w:p>
    <w:p w:rsidR="00CD7805" w:rsidRDefault="00CD7805" w:rsidP="00CD7805">
      <w:pPr>
        <w:spacing w:after="21" w:line="248" w:lineRule="auto"/>
        <w:ind w:right="0"/>
        <w:jc w:val="left"/>
        <w:rPr>
          <w:sz w:val="14"/>
        </w:rPr>
      </w:pPr>
    </w:p>
    <w:p w:rsidR="00CD7805" w:rsidRDefault="00CD7805" w:rsidP="00CD7805">
      <w:pPr>
        <w:spacing w:after="21" w:line="248" w:lineRule="auto"/>
        <w:ind w:right="0"/>
        <w:jc w:val="left"/>
        <w:rPr>
          <w:sz w:val="14"/>
        </w:rPr>
      </w:pPr>
    </w:p>
    <w:p w:rsidR="00CD7805" w:rsidRDefault="00CD7805" w:rsidP="00CD7805">
      <w:pPr>
        <w:bidi/>
        <w:spacing w:after="0" w:line="240" w:lineRule="auto"/>
        <w:ind w:left="0" w:right="0" w:firstLine="0"/>
        <w:jc w:val="left"/>
        <w:rPr>
          <w:color w:val="auto"/>
          <w:sz w:val="24"/>
          <w:szCs w:val="24"/>
          <w:rtl/>
        </w:rPr>
        <w:sectPr w:rsidR="00CD7805">
          <w:type w:val="continuous"/>
          <w:pgSz w:w="11906" w:h="15987"/>
          <w:pgMar w:top="2543" w:right="736" w:bottom="909" w:left="737" w:header="720" w:footer="720" w:gutter="0"/>
          <w:cols w:num="2" w:space="214"/>
        </w:sectPr>
      </w:pPr>
    </w:p>
    <w:p w:rsidR="00CD7805" w:rsidRPr="00CD7805" w:rsidRDefault="00CD7805" w:rsidP="00CD7805">
      <w:pPr>
        <w:bidi/>
        <w:spacing w:after="0" w:line="240" w:lineRule="auto"/>
        <w:ind w:left="0" w:right="0" w:firstLine="0"/>
        <w:jc w:val="left"/>
        <w:rPr>
          <w:rFonts w:cs="B Mitra"/>
          <w:color w:val="auto"/>
          <w:sz w:val="28"/>
          <w:szCs w:val="28"/>
        </w:rPr>
      </w:pPr>
      <w:hyperlink r:id="rId22" w:tgtFrame="_blank" w:history="1">
        <w:r w:rsidRPr="00CD7805">
          <w:rPr>
            <w:rFonts w:ascii="Tahoma" w:hAnsi="Tahoma" w:cs="B Mitra"/>
            <w:color w:val="3FAEBA"/>
            <w:sz w:val="28"/>
            <w:szCs w:val="28"/>
            <w:u w:val="single"/>
            <w:rtl/>
          </w:rPr>
          <w:t>محققین با استفاده از داده های موبایل</w:t>
        </w:r>
      </w:hyperlink>
      <w:r w:rsidRPr="00CD7805">
        <w:rPr>
          <w:rFonts w:ascii="Cambria" w:hAnsi="Cambria" w:cs="Cambria" w:hint="cs"/>
          <w:color w:val="333333"/>
          <w:sz w:val="28"/>
          <w:szCs w:val="28"/>
          <w:rtl/>
        </w:rPr>
        <w:t> </w:t>
      </w:r>
      <w:r w:rsidRPr="00CD7805">
        <w:rPr>
          <w:rFonts w:ascii="Tahoma" w:hAnsi="Tahoma" w:cs="B Mitra" w:hint="cs"/>
          <w:color w:val="333333"/>
          <w:sz w:val="28"/>
          <w:szCs w:val="28"/>
          <w:rtl/>
        </w:rPr>
        <w:t>افراد</w:t>
      </w:r>
      <w:r w:rsidRPr="00CD7805">
        <w:rPr>
          <w:rFonts w:ascii="Tahoma" w:hAnsi="Tahoma" w:cs="B Mitra"/>
          <w:color w:val="333333"/>
          <w:sz w:val="28"/>
          <w:szCs w:val="28"/>
          <w:rtl/>
        </w:rPr>
        <w:t xml:space="preserve"> </w:t>
      </w:r>
      <w:r w:rsidRPr="00CD7805">
        <w:rPr>
          <w:rFonts w:ascii="Tahoma" w:hAnsi="Tahoma" w:cs="B Mitra" w:hint="cs"/>
          <w:color w:val="333333"/>
          <w:sz w:val="28"/>
          <w:szCs w:val="28"/>
          <w:rtl/>
        </w:rPr>
        <w:t>در</w:t>
      </w:r>
      <w:r w:rsidRPr="00CD7805">
        <w:rPr>
          <w:rFonts w:ascii="Tahoma" w:hAnsi="Tahoma" w:cs="B Mitra"/>
          <w:color w:val="333333"/>
          <w:sz w:val="28"/>
          <w:szCs w:val="28"/>
          <w:rtl/>
        </w:rPr>
        <w:t xml:space="preserve"> </w:t>
      </w:r>
      <w:r w:rsidRPr="00CD7805">
        <w:rPr>
          <w:rFonts w:ascii="Tahoma" w:hAnsi="Tahoma" w:cs="B Mitra" w:hint="cs"/>
          <w:color w:val="333333"/>
          <w:sz w:val="28"/>
          <w:szCs w:val="28"/>
          <w:rtl/>
        </w:rPr>
        <w:t>فاصله</w:t>
      </w:r>
      <w:r w:rsidRPr="00CD7805">
        <w:rPr>
          <w:rFonts w:ascii="Tahoma" w:hAnsi="Tahoma" w:cs="B Mitra"/>
          <w:color w:val="333333"/>
          <w:sz w:val="28"/>
          <w:szCs w:val="28"/>
          <w:rtl/>
        </w:rPr>
        <w:t xml:space="preserve"> </w:t>
      </w:r>
      <w:r w:rsidRPr="00CD7805">
        <w:rPr>
          <w:rFonts w:ascii="Tahoma" w:hAnsi="Tahoma" w:cs="B Mitra" w:hint="cs"/>
          <w:color w:val="333333"/>
          <w:sz w:val="28"/>
          <w:szCs w:val="28"/>
          <w:rtl/>
        </w:rPr>
        <w:t>ی</w:t>
      </w:r>
      <w:r w:rsidRPr="00CD7805">
        <w:rPr>
          <w:rFonts w:ascii="Cambria" w:hAnsi="Cambria" w:cs="Cambria" w:hint="cs"/>
          <w:color w:val="333333"/>
          <w:sz w:val="28"/>
          <w:szCs w:val="28"/>
          <w:rtl/>
        </w:rPr>
        <w:t> </w:t>
      </w:r>
      <w:r w:rsidRPr="00CD7805">
        <w:rPr>
          <w:rFonts w:ascii="Tahoma" w:hAnsi="Tahoma" w:cs="B Mitra"/>
          <w:color w:val="333333"/>
          <w:sz w:val="28"/>
          <w:szCs w:val="28"/>
        </w:rPr>
        <w:t>Jan 1 to April 20, 2020</w:t>
      </w:r>
      <w:r w:rsidRPr="00CD7805">
        <w:rPr>
          <w:rFonts w:ascii="Tahoma" w:hAnsi="Tahoma" w:cs="B Mitra"/>
          <w:color w:val="333333"/>
          <w:sz w:val="28"/>
          <w:szCs w:val="28"/>
          <w:rtl/>
        </w:rPr>
        <w:t xml:space="preserve"> در آمریکا، نشان داده اند که هر جا کاهش حرکت وجود داشته است در نتیجه کاهش رشد تعداد مبتلایان کوید19 دیده شده است و جالب این که این اثر در یک فاصله ی 9 تا 12 روزه دیده شده است که می توان به عنوان دوره نهفتگی بیماری در نظر گرفت. در نتیجه تا زمان تهیه واکسن، فاصله گذاری فیزیکی یک راهکار مهم برای کاهش تعداد مبتلایان می باشد.</w:t>
      </w:r>
      <w:r w:rsidRPr="00CD7805">
        <w:rPr>
          <w:rFonts w:ascii="Cambria" w:hAnsi="Cambria" w:cs="Cambria" w:hint="cs"/>
          <w:color w:val="auto"/>
          <w:sz w:val="28"/>
          <w:szCs w:val="28"/>
          <w:rtl/>
        </w:rPr>
        <w:t>  </w:t>
      </w:r>
    </w:p>
    <w:p w:rsidR="00CD7805" w:rsidRDefault="00CD7805" w:rsidP="00CD7805">
      <w:pPr>
        <w:numPr>
          <w:ilvl w:val="0"/>
          <w:numId w:val="2"/>
        </w:numPr>
        <w:spacing w:before="100" w:beforeAutospacing="1" w:after="100" w:afterAutospacing="1" w:line="240" w:lineRule="auto"/>
        <w:ind w:right="0"/>
        <w:jc w:val="left"/>
        <w:rPr>
          <w:color w:val="auto"/>
          <w:sz w:val="24"/>
          <w:szCs w:val="24"/>
        </w:rPr>
        <w:sectPr w:rsidR="00CD7805" w:rsidSect="00CD7805">
          <w:type w:val="continuous"/>
          <w:pgSz w:w="11906" w:h="15987"/>
          <w:pgMar w:top="2543" w:right="736" w:bottom="909" w:left="737" w:header="720" w:footer="720" w:gutter="0"/>
          <w:cols w:space="214"/>
        </w:sectPr>
      </w:pPr>
    </w:p>
    <w:p w:rsidR="00CD7805" w:rsidRPr="00CD7805" w:rsidRDefault="00CD7805" w:rsidP="00CD7805">
      <w:pPr>
        <w:spacing w:before="100" w:beforeAutospacing="1" w:after="100" w:afterAutospacing="1" w:line="240" w:lineRule="auto"/>
        <w:ind w:left="720" w:right="0" w:firstLine="0"/>
        <w:jc w:val="left"/>
        <w:rPr>
          <w:color w:val="auto"/>
          <w:sz w:val="24"/>
          <w:szCs w:val="24"/>
          <w:rtl/>
        </w:rPr>
      </w:pPr>
      <w:bookmarkStart w:id="0" w:name="_GoBack"/>
      <w:bookmarkEnd w:id="0"/>
    </w:p>
    <w:p w:rsidR="00CD7805" w:rsidRDefault="00CD7805" w:rsidP="00CD7805">
      <w:pPr>
        <w:bidi/>
        <w:spacing w:after="21" w:line="248" w:lineRule="auto"/>
        <w:ind w:right="0"/>
        <w:jc w:val="left"/>
      </w:pPr>
    </w:p>
    <w:sectPr w:rsidR="00CD7805">
      <w:type w:val="continuous"/>
      <w:pgSz w:w="11906" w:h="15987"/>
      <w:pgMar w:top="2543" w:right="736" w:bottom="909" w:left="737" w:header="720" w:footer="720" w:gutter="0"/>
      <w:cols w:num="2" w:space="21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719C" w:rsidRDefault="003F719C">
      <w:pPr>
        <w:spacing w:after="0" w:line="240" w:lineRule="auto"/>
      </w:pPr>
      <w:r>
        <w:separator/>
      </w:r>
    </w:p>
  </w:endnote>
  <w:endnote w:type="continuationSeparator" w:id="0">
    <w:p w:rsidR="003F719C" w:rsidRDefault="003F7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279" w:rsidRDefault="003F719C">
    <w:pPr>
      <w:tabs>
        <w:tab w:val="right" w:pos="10375"/>
      </w:tabs>
      <w:spacing w:after="0" w:line="259" w:lineRule="auto"/>
      <w:ind w:left="-170" w:right="-2050" w:firstLine="0"/>
      <w:jc w:val="left"/>
    </w:pPr>
    <w:r>
      <w:fldChar w:fldCharType="begin"/>
    </w:r>
    <w:r>
      <w:instrText xml:space="preserve"> PAGE   \* MERGEFORMAT </w:instrText>
    </w:r>
    <w:r>
      <w:fldChar w:fldCharType="separate"/>
    </w:r>
    <w:r w:rsidR="00CD7805" w:rsidRPr="00CD7805">
      <w:rPr>
        <w:rFonts w:ascii="Calibri" w:eastAsia="Calibri" w:hAnsi="Calibri" w:cs="Calibri"/>
        <w:b/>
        <w:noProof/>
        <w:sz w:val="14"/>
      </w:rPr>
      <w:t>10</w:t>
    </w:r>
    <w:r>
      <w:rPr>
        <w:rFonts w:ascii="Calibri" w:eastAsia="Calibri" w:hAnsi="Calibri" w:cs="Calibri"/>
        <w:b/>
        <w:sz w:val="14"/>
      </w:rPr>
      <w:fldChar w:fldCharType="end"/>
    </w:r>
    <w:r>
      <w:rPr>
        <w:rFonts w:ascii="Calibri" w:eastAsia="Calibri" w:hAnsi="Calibri" w:cs="Calibri"/>
        <w:b/>
        <w:sz w:val="14"/>
      </w:rPr>
      <w:t xml:space="preserve"> </w:t>
    </w:r>
    <w:r>
      <w:rPr>
        <w:rFonts w:ascii="Calibri" w:eastAsia="Calibri" w:hAnsi="Calibri" w:cs="Calibri"/>
        <w:b/>
        <w:sz w:val="14"/>
      </w:rPr>
      <w:tab/>
    </w:r>
    <w:r>
      <w:rPr>
        <w:rFonts w:ascii="Calibri" w:eastAsia="Calibri" w:hAnsi="Calibri" w:cs="Calibri"/>
        <w:sz w:val="14"/>
      </w:rPr>
      <w:t xml:space="preserve">www.thelancet.com/infection </w:t>
    </w:r>
    <w:r>
      <w:rPr>
        <w:rFonts w:ascii="Calibri" w:eastAsia="Calibri" w:hAnsi="Calibri" w:cs="Calibri"/>
        <w:i/>
        <w:sz w:val="14"/>
      </w:rPr>
      <w:t xml:space="preserve">  </w:t>
    </w:r>
    <w:r>
      <w:rPr>
        <w:rFonts w:ascii="Calibri" w:eastAsia="Calibri" w:hAnsi="Calibri" w:cs="Calibri"/>
        <w:b/>
        <w:sz w:val="14"/>
      </w:rPr>
      <w:t>Vol 20   November 2020</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279" w:rsidRDefault="003F719C">
    <w:pPr>
      <w:tabs>
        <w:tab w:val="right" w:pos="10545"/>
      </w:tabs>
      <w:spacing w:after="0" w:line="259" w:lineRule="auto"/>
      <w:ind w:left="0" w:right="-2221" w:firstLine="0"/>
      <w:jc w:val="left"/>
    </w:pPr>
    <w:r>
      <w:rPr>
        <w:rFonts w:ascii="Calibri" w:eastAsia="Calibri" w:hAnsi="Calibri" w:cs="Calibri"/>
        <w:sz w:val="14"/>
      </w:rPr>
      <w:t xml:space="preserve">www.thelancet.com/infection </w:t>
    </w:r>
    <w:r>
      <w:rPr>
        <w:rFonts w:ascii="Calibri" w:eastAsia="Calibri" w:hAnsi="Calibri" w:cs="Calibri"/>
        <w:i/>
        <w:sz w:val="14"/>
      </w:rPr>
      <w:t xml:space="preserve">  </w:t>
    </w:r>
    <w:r>
      <w:rPr>
        <w:rFonts w:ascii="Calibri" w:eastAsia="Calibri" w:hAnsi="Calibri" w:cs="Calibri"/>
        <w:b/>
        <w:sz w:val="14"/>
      </w:rPr>
      <w:t xml:space="preserve">Vol 20   November 2020 </w:t>
    </w:r>
    <w:r>
      <w:rPr>
        <w:rFonts w:ascii="Calibri" w:eastAsia="Calibri" w:hAnsi="Calibri" w:cs="Calibri"/>
        <w:b/>
        <w:sz w:val="14"/>
      </w:rPr>
      <w:tab/>
    </w:r>
    <w:r>
      <w:fldChar w:fldCharType="begin"/>
    </w:r>
    <w:r>
      <w:instrText xml:space="preserve"> PAGE   \* MERGEFORMAT </w:instrText>
    </w:r>
    <w:r>
      <w:fldChar w:fldCharType="separate"/>
    </w:r>
    <w:r w:rsidRPr="003F719C">
      <w:rPr>
        <w:rFonts w:ascii="Calibri" w:eastAsia="Calibri" w:hAnsi="Calibri" w:cs="Calibri"/>
        <w:b/>
        <w:noProof/>
        <w:sz w:val="14"/>
      </w:rPr>
      <w:t>1</w:t>
    </w:r>
    <w:r>
      <w:rPr>
        <w:rFonts w:ascii="Calibri" w:eastAsia="Calibri" w:hAnsi="Calibri" w:cs="Calibri"/>
        <w:b/>
        <w:sz w:val="1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279" w:rsidRDefault="003F719C">
    <w:pPr>
      <w:tabs>
        <w:tab w:val="right" w:pos="10545"/>
      </w:tabs>
      <w:spacing w:after="0" w:line="259" w:lineRule="auto"/>
      <w:ind w:left="0" w:right="-2221" w:firstLine="0"/>
      <w:jc w:val="left"/>
    </w:pPr>
    <w:r>
      <w:rPr>
        <w:rFonts w:ascii="Calibri" w:eastAsia="Calibri" w:hAnsi="Calibri" w:cs="Calibri"/>
        <w:sz w:val="14"/>
      </w:rPr>
      <w:t xml:space="preserve">www.thelancet.com/infection </w:t>
    </w:r>
    <w:r>
      <w:rPr>
        <w:rFonts w:ascii="Calibri" w:eastAsia="Calibri" w:hAnsi="Calibri" w:cs="Calibri"/>
        <w:i/>
        <w:sz w:val="14"/>
      </w:rPr>
      <w:t xml:space="preserve">  </w:t>
    </w:r>
    <w:r>
      <w:rPr>
        <w:rFonts w:ascii="Calibri" w:eastAsia="Calibri" w:hAnsi="Calibri" w:cs="Calibri"/>
        <w:b/>
        <w:sz w:val="14"/>
      </w:rPr>
      <w:t xml:space="preserve">Vol 20   November 2020 </w:t>
    </w:r>
    <w:r>
      <w:rPr>
        <w:rFonts w:ascii="Calibri" w:eastAsia="Calibri" w:hAnsi="Calibri" w:cs="Calibri"/>
        <w:b/>
        <w:sz w:val="14"/>
      </w:rPr>
      <w:tab/>
    </w:r>
    <w:r>
      <w:fldChar w:fldCharType="begin"/>
    </w:r>
    <w:r>
      <w:instrText xml:space="preserve"> PAGE   \* MERGEFORMAT </w:instrText>
    </w:r>
    <w:r>
      <w:fldChar w:fldCharType="separate"/>
    </w:r>
    <w:r w:rsidR="002318A0" w:rsidRPr="002318A0">
      <w:rPr>
        <w:rFonts w:ascii="Calibri" w:eastAsia="Calibri" w:hAnsi="Calibri" w:cs="Calibri"/>
        <w:b/>
        <w:noProof/>
        <w:sz w:val="14"/>
      </w:rPr>
      <w:t>1247</w:t>
    </w:r>
    <w:r>
      <w:rPr>
        <w:rFonts w:ascii="Calibri" w:eastAsia="Calibri" w:hAnsi="Calibri" w:cs="Calibri"/>
        <w:b/>
        <w:sz w:val="1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719C" w:rsidRDefault="003F719C">
      <w:pPr>
        <w:spacing w:after="0" w:line="240" w:lineRule="auto"/>
      </w:pPr>
      <w:r>
        <w:separator/>
      </w:r>
    </w:p>
  </w:footnote>
  <w:footnote w:type="continuationSeparator" w:id="0">
    <w:p w:rsidR="003F719C" w:rsidRDefault="003F71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279" w:rsidRDefault="003F719C">
    <w:pPr>
      <w:tabs>
        <w:tab w:val="center" w:pos="648"/>
      </w:tabs>
      <w:spacing w:after="0" w:line="259" w:lineRule="auto"/>
      <w:ind w:left="-170" w:right="0"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359984</wp:posOffset>
              </wp:positionH>
              <wp:positionV relativeFrom="page">
                <wp:posOffset>1305523</wp:posOffset>
              </wp:positionV>
              <wp:extent cx="6732003" cy="19050"/>
              <wp:effectExtent l="0" t="0" r="0" b="0"/>
              <wp:wrapSquare wrapText="bothSides"/>
              <wp:docPr id="974019" name="Group 974019"/>
              <wp:cNvGraphicFramePr/>
              <a:graphic xmlns:a="http://schemas.openxmlformats.org/drawingml/2006/main">
                <a:graphicData uri="http://schemas.microsoft.com/office/word/2010/wordprocessingGroup">
                  <wpg:wgp>
                    <wpg:cNvGrpSpPr/>
                    <wpg:grpSpPr>
                      <a:xfrm>
                        <a:off x="0" y="0"/>
                        <a:ext cx="6732003" cy="19050"/>
                        <a:chOff x="0" y="0"/>
                        <a:chExt cx="6732003" cy="19050"/>
                      </a:xfrm>
                    </wpg:grpSpPr>
                    <wps:wsp>
                      <wps:cNvPr id="974020" name="Shape 974020"/>
                      <wps:cNvSpPr/>
                      <wps:spPr>
                        <a:xfrm>
                          <a:off x="0" y="0"/>
                          <a:ext cx="6732003" cy="0"/>
                        </a:xfrm>
                        <a:custGeom>
                          <a:avLst/>
                          <a:gdLst/>
                          <a:ahLst/>
                          <a:cxnLst/>
                          <a:rect l="0" t="0" r="0" b="0"/>
                          <a:pathLst>
                            <a:path w="6732003">
                              <a:moveTo>
                                <a:pt x="0" y="0"/>
                              </a:moveTo>
                              <a:lnTo>
                                <a:pt x="6732003" y="0"/>
                              </a:lnTo>
                            </a:path>
                          </a:pathLst>
                        </a:custGeom>
                        <a:ln w="19050" cap="flat">
                          <a:miter lim="100000"/>
                        </a:ln>
                      </wps:spPr>
                      <wps:style>
                        <a:lnRef idx="1">
                          <a:srgbClr val="A82B3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74019" style="width:530.079pt;height:1.5pt;position:absolute;mso-position-horizontal-relative:page;mso-position-horizontal:absolute;margin-left:28.3452pt;mso-position-vertical-relative:page;margin-top:102.797pt;" coordsize="67320,190">
              <v:shape id="Shape 974020" style="position:absolute;width:67320;height:0;left:0;top:0;" coordsize="6732003,0" path="m0,0l6732003,0">
                <v:stroke weight="1.5pt" endcap="flat" joinstyle="miter" miterlimit="4" on="true" color="#a82b3d"/>
                <v:fill on="false" color="#000000" opacity="0"/>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359982</wp:posOffset>
              </wp:positionH>
              <wp:positionV relativeFrom="page">
                <wp:posOffset>0</wp:posOffset>
              </wp:positionV>
              <wp:extent cx="144005" cy="602996"/>
              <wp:effectExtent l="0" t="0" r="0" b="0"/>
              <wp:wrapSquare wrapText="bothSides"/>
              <wp:docPr id="974021" name="Group 974021"/>
              <wp:cNvGraphicFramePr/>
              <a:graphic xmlns:a="http://schemas.openxmlformats.org/drawingml/2006/main">
                <a:graphicData uri="http://schemas.microsoft.com/office/word/2010/wordprocessingGroup">
                  <wpg:wgp>
                    <wpg:cNvGrpSpPr/>
                    <wpg:grpSpPr>
                      <a:xfrm>
                        <a:off x="0" y="0"/>
                        <a:ext cx="144005" cy="602996"/>
                        <a:chOff x="0" y="0"/>
                        <a:chExt cx="144005" cy="602996"/>
                      </a:xfrm>
                    </wpg:grpSpPr>
                    <wps:wsp>
                      <wps:cNvPr id="974577" name="Shape 974577"/>
                      <wps:cNvSpPr/>
                      <wps:spPr>
                        <a:xfrm>
                          <a:off x="0" y="0"/>
                          <a:ext cx="144005" cy="602996"/>
                        </a:xfrm>
                        <a:custGeom>
                          <a:avLst/>
                          <a:gdLst/>
                          <a:ahLst/>
                          <a:cxnLst/>
                          <a:rect l="0" t="0" r="0" b="0"/>
                          <a:pathLst>
                            <a:path w="144005" h="602996">
                              <a:moveTo>
                                <a:pt x="0" y="0"/>
                              </a:moveTo>
                              <a:lnTo>
                                <a:pt x="144005" y="0"/>
                              </a:lnTo>
                              <a:lnTo>
                                <a:pt x="144005" y="602996"/>
                              </a:lnTo>
                              <a:lnTo>
                                <a:pt x="0" y="602996"/>
                              </a:lnTo>
                              <a:lnTo>
                                <a:pt x="0" y="0"/>
                              </a:lnTo>
                            </a:path>
                          </a:pathLst>
                        </a:custGeom>
                        <a:ln w="0" cap="flat">
                          <a:miter lim="127000"/>
                        </a:ln>
                      </wps:spPr>
                      <wps:style>
                        <a:lnRef idx="0">
                          <a:srgbClr val="000000">
                            <a:alpha val="0"/>
                          </a:srgbClr>
                        </a:lnRef>
                        <a:fillRef idx="1">
                          <a:srgbClr val="A82B3D"/>
                        </a:fillRef>
                        <a:effectRef idx="0">
                          <a:scrgbClr r="0" g="0" b="0"/>
                        </a:effectRef>
                        <a:fontRef idx="none"/>
                      </wps:style>
                      <wps:bodyPr/>
                    </wps:wsp>
                  </wpg:wgp>
                </a:graphicData>
              </a:graphic>
            </wp:anchor>
          </w:drawing>
        </mc:Choice>
        <mc:Fallback xmlns:a="http://schemas.openxmlformats.org/drawingml/2006/main">
          <w:pict>
            <v:group id="Group 974021" style="width:11.339pt;height:47.48pt;position:absolute;mso-position-horizontal-relative:page;mso-position-horizontal:absolute;margin-left:28.345pt;mso-position-vertical-relative:page;margin-top:0pt;" coordsize="1440,6029">
              <v:shape id="Shape 974578" style="position:absolute;width:1440;height:6029;left:0;top:0;" coordsize="144005,602996" path="m0,0l144005,0l144005,602996l0,602996l0,0">
                <v:stroke weight="0pt" endcap="flat" joinstyle="miter" miterlimit="10" on="false" color="#000000" opacity="0"/>
                <v:fill on="true" color="#a82b3d"/>
              </v:shape>
              <w10:wrap type="square"/>
            </v:group>
          </w:pict>
        </mc:Fallback>
      </mc:AlternateContent>
    </w:r>
    <w:r>
      <w:rPr>
        <w:rFonts w:ascii="Calibri" w:eastAsia="Calibri" w:hAnsi="Calibri" w:cs="Calibri"/>
        <w:b/>
        <w:sz w:val="24"/>
      </w:rPr>
      <w:tab/>
      <w:t>Articles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279" w:rsidRDefault="003F719C" w:rsidP="002318A0">
    <w:pPr>
      <w:spacing w:after="0" w:line="259" w:lineRule="auto"/>
      <w:ind w:left="0" w:right="-1824" w:firstLine="0"/>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14:anchorId="5092E06A" wp14:editId="2DB81049">
              <wp:simplePos x="0" y="0"/>
              <wp:positionH relativeFrom="page">
                <wp:posOffset>468000</wp:posOffset>
              </wp:positionH>
              <wp:positionV relativeFrom="page">
                <wp:posOffset>1305523</wp:posOffset>
              </wp:positionV>
              <wp:extent cx="6732003" cy="19050"/>
              <wp:effectExtent l="0" t="0" r="0" b="0"/>
              <wp:wrapSquare wrapText="bothSides"/>
              <wp:docPr id="973997" name="Group 973997"/>
              <wp:cNvGraphicFramePr/>
              <a:graphic xmlns:a="http://schemas.openxmlformats.org/drawingml/2006/main">
                <a:graphicData uri="http://schemas.microsoft.com/office/word/2010/wordprocessingGroup">
                  <wpg:wgp>
                    <wpg:cNvGrpSpPr/>
                    <wpg:grpSpPr>
                      <a:xfrm>
                        <a:off x="0" y="0"/>
                        <a:ext cx="6732003" cy="19050"/>
                        <a:chOff x="0" y="0"/>
                        <a:chExt cx="6732003" cy="19050"/>
                      </a:xfrm>
                    </wpg:grpSpPr>
                    <wps:wsp>
                      <wps:cNvPr id="973998" name="Shape 973998"/>
                      <wps:cNvSpPr/>
                      <wps:spPr>
                        <a:xfrm>
                          <a:off x="0" y="0"/>
                          <a:ext cx="6732003" cy="0"/>
                        </a:xfrm>
                        <a:custGeom>
                          <a:avLst/>
                          <a:gdLst/>
                          <a:ahLst/>
                          <a:cxnLst/>
                          <a:rect l="0" t="0" r="0" b="0"/>
                          <a:pathLst>
                            <a:path w="6732003">
                              <a:moveTo>
                                <a:pt x="0" y="0"/>
                              </a:moveTo>
                              <a:lnTo>
                                <a:pt x="6732003" y="0"/>
                              </a:lnTo>
                            </a:path>
                          </a:pathLst>
                        </a:custGeom>
                        <a:ln w="19050" cap="flat">
                          <a:miter lim="100000"/>
                        </a:ln>
                      </wps:spPr>
                      <wps:style>
                        <a:lnRef idx="1">
                          <a:srgbClr val="A82B3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73997" style="width:530.079pt;height:1.5pt;position:absolute;mso-position-horizontal-relative:page;mso-position-horizontal:absolute;margin-left:36.8504pt;mso-position-vertical-relative:page;margin-top:102.797pt;" coordsize="67320,190">
              <v:shape id="Shape 973998" style="position:absolute;width:67320;height:0;left:0;top:0;" coordsize="6732003,0" path="m0,0l6732003,0">
                <v:stroke weight="1.5pt" endcap="flat" joinstyle="miter" miterlimit="4" on="true" color="#a82b3d"/>
                <v:fill on="false" color="#000000" opacity="0"/>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14:anchorId="095588D4" wp14:editId="316EEB5B">
              <wp:simplePos x="0" y="0"/>
              <wp:positionH relativeFrom="page">
                <wp:posOffset>7056006</wp:posOffset>
              </wp:positionH>
              <wp:positionV relativeFrom="page">
                <wp:posOffset>0</wp:posOffset>
              </wp:positionV>
              <wp:extent cx="144005" cy="602996"/>
              <wp:effectExtent l="0" t="0" r="0" b="0"/>
              <wp:wrapSquare wrapText="bothSides"/>
              <wp:docPr id="973999" name="Group 973999"/>
              <wp:cNvGraphicFramePr/>
              <a:graphic xmlns:a="http://schemas.openxmlformats.org/drawingml/2006/main">
                <a:graphicData uri="http://schemas.microsoft.com/office/word/2010/wordprocessingGroup">
                  <wpg:wgp>
                    <wpg:cNvGrpSpPr/>
                    <wpg:grpSpPr>
                      <a:xfrm>
                        <a:off x="0" y="0"/>
                        <a:ext cx="144005" cy="602996"/>
                        <a:chOff x="0" y="0"/>
                        <a:chExt cx="144005" cy="602996"/>
                      </a:xfrm>
                    </wpg:grpSpPr>
                    <wps:wsp>
                      <wps:cNvPr id="974575" name="Shape 974575"/>
                      <wps:cNvSpPr/>
                      <wps:spPr>
                        <a:xfrm>
                          <a:off x="0" y="0"/>
                          <a:ext cx="144005" cy="602996"/>
                        </a:xfrm>
                        <a:custGeom>
                          <a:avLst/>
                          <a:gdLst/>
                          <a:ahLst/>
                          <a:cxnLst/>
                          <a:rect l="0" t="0" r="0" b="0"/>
                          <a:pathLst>
                            <a:path w="144005" h="602996">
                              <a:moveTo>
                                <a:pt x="0" y="0"/>
                              </a:moveTo>
                              <a:lnTo>
                                <a:pt x="144005" y="0"/>
                              </a:lnTo>
                              <a:lnTo>
                                <a:pt x="144005" y="602996"/>
                              </a:lnTo>
                              <a:lnTo>
                                <a:pt x="0" y="602996"/>
                              </a:lnTo>
                              <a:lnTo>
                                <a:pt x="0" y="0"/>
                              </a:lnTo>
                            </a:path>
                          </a:pathLst>
                        </a:custGeom>
                        <a:ln w="0" cap="flat">
                          <a:miter lim="127000"/>
                        </a:ln>
                      </wps:spPr>
                      <wps:style>
                        <a:lnRef idx="0">
                          <a:srgbClr val="000000">
                            <a:alpha val="0"/>
                          </a:srgbClr>
                        </a:lnRef>
                        <a:fillRef idx="1">
                          <a:srgbClr val="A82B3D"/>
                        </a:fillRef>
                        <a:effectRef idx="0">
                          <a:scrgbClr r="0" g="0" b="0"/>
                        </a:effectRef>
                        <a:fontRef idx="none"/>
                      </wps:style>
                      <wps:bodyPr/>
                    </wps:wsp>
                  </wpg:wgp>
                </a:graphicData>
              </a:graphic>
            </wp:anchor>
          </w:drawing>
        </mc:Choice>
        <mc:Fallback xmlns:a="http://schemas.openxmlformats.org/drawingml/2006/main">
          <w:pict>
            <v:group id="Group 973999" style="width:11.339pt;height:47.48pt;position:absolute;mso-position-horizontal-relative:page;mso-position-horizontal:absolute;margin-left:555.591pt;mso-position-vertical-relative:page;margin-top:0pt;" coordsize="1440,6029">
              <v:shape id="Shape 974576" style="position:absolute;width:1440;height:6029;left:0;top:0;" coordsize="144005,602996" path="m0,0l144005,0l144005,602996l0,602996l0,0">
                <v:stroke weight="0pt" endcap="flat" joinstyle="miter" miterlimit="10" on="false" color="#000000" opacity="0"/>
                <v:fill on="true" color="#a82b3d"/>
              </v:shape>
              <w10:wrap type="square"/>
            </v:group>
          </w:pict>
        </mc:Fallback>
      </mc:AlternateContent>
    </w:r>
    <w:r>
      <w:rPr>
        <w:rFonts w:ascii="Calibri" w:eastAsia="Calibri" w:hAnsi="Calibri" w:cs="Calibri"/>
        <w:b/>
        <w:sz w:val="24"/>
      </w:rPr>
      <w:t>Articles</w:t>
    </w:r>
    <w:r>
      <w:rPr>
        <w:rFonts w:ascii="Calibri" w:eastAsia="Calibri" w:hAnsi="Calibri" w:cs="Calibri"/>
        <w:b/>
        <w:sz w:val="24"/>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279" w:rsidRDefault="003F719C">
    <w:pPr>
      <w:spacing w:after="0" w:line="259" w:lineRule="auto"/>
      <w:ind w:left="-737" w:right="9061" w:firstLine="0"/>
      <w:jc w:val="left"/>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7056018</wp:posOffset>
              </wp:positionH>
              <wp:positionV relativeFrom="page">
                <wp:posOffset>0</wp:posOffset>
              </wp:positionV>
              <wp:extent cx="144005" cy="602996"/>
              <wp:effectExtent l="0" t="0" r="0" b="0"/>
              <wp:wrapSquare wrapText="bothSides"/>
              <wp:docPr id="973975" name="Group 973975"/>
              <wp:cNvGraphicFramePr/>
              <a:graphic xmlns:a="http://schemas.openxmlformats.org/drawingml/2006/main">
                <a:graphicData uri="http://schemas.microsoft.com/office/word/2010/wordprocessingGroup">
                  <wpg:wgp>
                    <wpg:cNvGrpSpPr/>
                    <wpg:grpSpPr>
                      <a:xfrm>
                        <a:off x="0" y="0"/>
                        <a:ext cx="144005" cy="602996"/>
                        <a:chOff x="0" y="0"/>
                        <a:chExt cx="144005" cy="602996"/>
                      </a:xfrm>
                    </wpg:grpSpPr>
                    <wps:wsp>
                      <wps:cNvPr id="974573" name="Shape 974573"/>
                      <wps:cNvSpPr/>
                      <wps:spPr>
                        <a:xfrm>
                          <a:off x="0" y="0"/>
                          <a:ext cx="144005" cy="602996"/>
                        </a:xfrm>
                        <a:custGeom>
                          <a:avLst/>
                          <a:gdLst/>
                          <a:ahLst/>
                          <a:cxnLst/>
                          <a:rect l="0" t="0" r="0" b="0"/>
                          <a:pathLst>
                            <a:path w="144005" h="602996">
                              <a:moveTo>
                                <a:pt x="0" y="0"/>
                              </a:moveTo>
                              <a:lnTo>
                                <a:pt x="144005" y="0"/>
                              </a:lnTo>
                              <a:lnTo>
                                <a:pt x="144005" y="602996"/>
                              </a:lnTo>
                              <a:lnTo>
                                <a:pt x="0" y="602996"/>
                              </a:lnTo>
                              <a:lnTo>
                                <a:pt x="0" y="0"/>
                              </a:lnTo>
                            </a:path>
                          </a:pathLst>
                        </a:custGeom>
                        <a:ln w="0" cap="flat">
                          <a:miter lim="127000"/>
                        </a:ln>
                      </wps:spPr>
                      <wps:style>
                        <a:lnRef idx="0">
                          <a:srgbClr val="000000">
                            <a:alpha val="0"/>
                          </a:srgbClr>
                        </a:lnRef>
                        <a:fillRef idx="1">
                          <a:srgbClr val="A82B3D"/>
                        </a:fillRef>
                        <a:effectRef idx="0">
                          <a:scrgbClr r="0" g="0" b="0"/>
                        </a:effectRef>
                        <a:fontRef idx="none"/>
                      </wps:style>
                      <wps:bodyPr/>
                    </wps:wsp>
                  </wpg:wgp>
                </a:graphicData>
              </a:graphic>
            </wp:anchor>
          </w:drawing>
        </mc:Choice>
        <mc:Fallback xmlns:a="http://schemas.openxmlformats.org/drawingml/2006/main">
          <w:pict>
            <v:group id="Group 973975" style="width:11.339pt;height:47.48pt;position:absolute;mso-position-horizontal-relative:page;mso-position-horizontal:absolute;margin-left:555.592pt;mso-position-vertical-relative:page;margin-top:0pt;" coordsize="1440,6029">
              <v:shape id="Shape 974574" style="position:absolute;width:1440;height:6029;left:0;top:0;" coordsize="144005,602996" path="m0,0l144005,0l144005,602996l0,602996l0,0">
                <v:stroke weight="0pt" endcap="flat" joinstyle="miter" miterlimit="10" on="false" color="#000000" opacity="0"/>
                <v:fill on="true" color="#a82b3d"/>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468017</wp:posOffset>
              </wp:positionH>
              <wp:positionV relativeFrom="page">
                <wp:posOffset>1305523</wp:posOffset>
              </wp:positionV>
              <wp:extent cx="6732003" cy="19050"/>
              <wp:effectExtent l="0" t="0" r="0" b="0"/>
              <wp:wrapSquare wrapText="bothSides"/>
              <wp:docPr id="973977" name="Group 973977"/>
              <wp:cNvGraphicFramePr/>
              <a:graphic xmlns:a="http://schemas.openxmlformats.org/drawingml/2006/main">
                <a:graphicData uri="http://schemas.microsoft.com/office/word/2010/wordprocessingGroup">
                  <wpg:wgp>
                    <wpg:cNvGrpSpPr/>
                    <wpg:grpSpPr>
                      <a:xfrm>
                        <a:off x="0" y="0"/>
                        <a:ext cx="6732003" cy="19050"/>
                        <a:chOff x="0" y="0"/>
                        <a:chExt cx="6732003" cy="19050"/>
                      </a:xfrm>
                    </wpg:grpSpPr>
                    <wps:wsp>
                      <wps:cNvPr id="973978" name="Shape 973978"/>
                      <wps:cNvSpPr/>
                      <wps:spPr>
                        <a:xfrm>
                          <a:off x="0" y="0"/>
                          <a:ext cx="6732003" cy="0"/>
                        </a:xfrm>
                        <a:custGeom>
                          <a:avLst/>
                          <a:gdLst/>
                          <a:ahLst/>
                          <a:cxnLst/>
                          <a:rect l="0" t="0" r="0" b="0"/>
                          <a:pathLst>
                            <a:path w="6732003">
                              <a:moveTo>
                                <a:pt x="0" y="0"/>
                              </a:moveTo>
                              <a:lnTo>
                                <a:pt x="6732003" y="0"/>
                              </a:lnTo>
                            </a:path>
                          </a:pathLst>
                        </a:custGeom>
                        <a:ln w="19050" cap="flat">
                          <a:miter lim="100000"/>
                        </a:ln>
                      </wps:spPr>
                      <wps:style>
                        <a:lnRef idx="1">
                          <a:srgbClr val="A82B3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73977" style="width:530.079pt;height:1.5pt;position:absolute;mso-position-horizontal-relative:page;mso-position-horizontal:absolute;margin-left:36.8517pt;mso-position-vertical-relative:page;margin-top:102.797pt;" coordsize="67320,190">
              <v:shape id="Shape 973978" style="position:absolute;width:67320;height:0;left:0;top:0;" coordsize="6732003,0" path="m0,0l6732003,0">
                <v:stroke weight="1.5pt" endcap="flat" joinstyle="miter" miterlimit="4" on="true" color="#a82b3d"/>
                <v:fill on="false" color="#000000" opacity="0"/>
              </v:shape>
              <w10:wrap type="squar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A23B29"/>
    <w:multiLevelType w:val="multilevel"/>
    <w:tmpl w:val="A19A2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AF91FF1"/>
    <w:multiLevelType w:val="hybridMultilevel"/>
    <w:tmpl w:val="3B14C1FA"/>
    <w:lvl w:ilvl="0" w:tplc="169820F8">
      <w:start w:val="1"/>
      <w:numFmt w:val="decimal"/>
      <w:lvlText w:val="%1"/>
      <w:lvlJc w:val="left"/>
      <w:pPr>
        <w:ind w:left="284"/>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1" w:tplc="546AEAFE">
      <w:start w:val="1"/>
      <w:numFmt w:val="lowerLetter"/>
      <w:lvlText w:val="%2"/>
      <w:lvlJc w:val="left"/>
      <w:pPr>
        <w:ind w:left="108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2" w:tplc="C4A6BFDE">
      <w:start w:val="1"/>
      <w:numFmt w:val="lowerRoman"/>
      <w:lvlText w:val="%3"/>
      <w:lvlJc w:val="left"/>
      <w:pPr>
        <w:ind w:left="180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3" w:tplc="427E724E">
      <w:start w:val="1"/>
      <w:numFmt w:val="decimal"/>
      <w:lvlText w:val="%4"/>
      <w:lvlJc w:val="left"/>
      <w:pPr>
        <w:ind w:left="252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4" w:tplc="7F2885CA">
      <w:start w:val="1"/>
      <w:numFmt w:val="lowerLetter"/>
      <w:lvlText w:val="%5"/>
      <w:lvlJc w:val="left"/>
      <w:pPr>
        <w:ind w:left="324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5" w:tplc="05D41096">
      <w:start w:val="1"/>
      <w:numFmt w:val="lowerRoman"/>
      <w:lvlText w:val="%6"/>
      <w:lvlJc w:val="left"/>
      <w:pPr>
        <w:ind w:left="396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6" w:tplc="B1D6FEDE">
      <w:start w:val="1"/>
      <w:numFmt w:val="decimal"/>
      <w:lvlText w:val="%7"/>
      <w:lvlJc w:val="left"/>
      <w:pPr>
        <w:ind w:left="468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7" w:tplc="335E2526">
      <w:start w:val="1"/>
      <w:numFmt w:val="lowerLetter"/>
      <w:lvlText w:val="%8"/>
      <w:lvlJc w:val="left"/>
      <w:pPr>
        <w:ind w:left="540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8" w:tplc="67C09A40">
      <w:start w:val="1"/>
      <w:numFmt w:val="lowerRoman"/>
      <w:lvlText w:val="%9"/>
      <w:lvlJc w:val="left"/>
      <w:pPr>
        <w:ind w:left="612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279"/>
    <w:rsid w:val="002318A0"/>
    <w:rsid w:val="00283279"/>
    <w:rsid w:val="003F719C"/>
    <w:rsid w:val="00CD78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46114"/>
  <w15:docId w15:val="{D58A2E04-0717-44FF-9C92-8D519269D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62" w:lineRule="auto"/>
      <w:ind w:left="1654" w:right="45" w:hanging="10"/>
      <w:jc w:val="both"/>
    </w:pPr>
    <w:rPr>
      <w:rFonts w:ascii="Times New Roman" w:eastAsia="Times New Roman" w:hAnsi="Times New Roman" w:cs="Times New Roman"/>
      <w:color w:val="181717"/>
      <w:sz w:val="18"/>
    </w:rPr>
  </w:style>
  <w:style w:type="paragraph" w:styleId="Heading1">
    <w:name w:val="heading 1"/>
    <w:next w:val="Normal"/>
    <w:link w:val="Heading1Char"/>
    <w:uiPriority w:val="9"/>
    <w:unhideWhenUsed/>
    <w:qFormat/>
    <w:pPr>
      <w:keepNext/>
      <w:keepLines/>
      <w:spacing w:after="0"/>
      <w:ind w:left="10" w:hanging="10"/>
      <w:outlineLvl w:val="0"/>
    </w:pPr>
    <w:rPr>
      <w:rFonts w:ascii="Calibri" w:eastAsia="Calibri" w:hAnsi="Calibri" w:cs="Calibri"/>
      <w:b/>
      <w:color w:val="A82B3D"/>
    </w:rPr>
  </w:style>
  <w:style w:type="paragraph" w:styleId="Heading2">
    <w:name w:val="heading 2"/>
    <w:next w:val="Normal"/>
    <w:link w:val="Heading2Char"/>
    <w:uiPriority w:val="9"/>
    <w:unhideWhenUsed/>
    <w:qFormat/>
    <w:pPr>
      <w:keepNext/>
      <w:keepLines/>
      <w:spacing w:after="0"/>
      <w:ind w:left="1654" w:hanging="10"/>
      <w:outlineLvl w:val="1"/>
    </w:pPr>
    <w:rPr>
      <w:rFonts w:ascii="Calibri" w:eastAsia="Calibri" w:hAnsi="Calibri" w:cs="Calibri"/>
      <w:b/>
      <w:color w:val="181717"/>
      <w:sz w:val="19"/>
    </w:rPr>
  </w:style>
  <w:style w:type="paragraph" w:styleId="Heading3">
    <w:name w:val="heading 3"/>
    <w:next w:val="Normal"/>
    <w:link w:val="Heading3Char"/>
    <w:uiPriority w:val="9"/>
    <w:unhideWhenUsed/>
    <w:qFormat/>
    <w:pPr>
      <w:keepNext/>
      <w:keepLines/>
      <w:spacing w:after="0"/>
      <w:ind w:left="1662" w:hanging="10"/>
      <w:outlineLvl w:val="2"/>
    </w:pPr>
    <w:rPr>
      <w:rFonts w:ascii="Calibri" w:eastAsia="Calibri" w:hAnsi="Calibri" w:cs="Calibri"/>
      <w:b/>
      <w:color w:val="181717"/>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181717"/>
      <w:sz w:val="19"/>
    </w:rPr>
  </w:style>
  <w:style w:type="character" w:customStyle="1" w:styleId="Heading1Char">
    <w:name w:val="Heading 1 Char"/>
    <w:link w:val="Heading1"/>
    <w:rPr>
      <w:rFonts w:ascii="Calibri" w:eastAsia="Calibri" w:hAnsi="Calibri" w:cs="Calibri"/>
      <w:b/>
      <w:color w:val="A82B3D"/>
      <w:sz w:val="22"/>
    </w:rPr>
  </w:style>
  <w:style w:type="character" w:customStyle="1" w:styleId="Heading3Char">
    <w:name w:val="Heading 3 Char"/>
    <w:link w:val="Heading3"/>
    <w:rPr>
      <w:rFonts w:ascii="Calibri" w:eastAsia="Calibri" w:hAnsi="Calibri" w:cs="Calibri"/>
      <w:b/>
      <w:color w:val="181717"/>
      <w:sz w:val="1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semiHidden/>
    <w:unhideWhenUsed/>
    <w:rsid w:val="00CD780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8103651">
      <w:bodyDiv w:val="1"/>
      <w:marLeft w:val="0"/>
      <w:marRight w:val="0"/>
      <w:marTop w:val="0"/>
      <w:marBottom w:val="0"/>
      <w:divBdr>
        <w:top w:val="none" w:sz="0" w:space="0" w:color="auto"/>
        <w:left w:val="none" w:sz="0" w:space="0" w:color="auto"/>
        <w:bottom w:val="none" w:sz="0" w:space="0" w:color="auto"/>
        <w:right w:val="none" w:sz="0" w:space="0" w:color="auto"/>
      </w:divBdr>
      <w:divsChild>
        <w:div w:id="2137411942">
          <w:marLeft w:val="0"/>
          <w:marRight w:val="0"/>
          <w:marTop w:val="0"/>
          <w:marBottom w:val="0"/>
          <w:divBdr>
            <w:top w:val="none" w:sz="0" w:space="0" w:color="auto"/>
            <w:left w:val="none" w:sz="0" w:space="0" w:color="auto"/>
            <w:bottom w:val="none" w:sz="0" w:space="0" w:color="auto"/>
            <w:right w:val="none" w:sz="0" w:space="0" w:color="auto"/>
          </w:divBdr>
          <w:divsChild>
            <w:div w:id="52823197">
              <w:marLeft w:val="0"/>
              <w:marRight w:val="0"/>
              <w:marTop w:val="0"/>
              <w:marBottom w:val="0"/>
              <w:divBdr>
                <w:top w:val="none" w:sz="0" w:space="0" w:color="auto"/>
                <w:left w:val="none" w:sz="0" w:space="0" w:color="auto"/>
                <w:bottom w:val="none" w:sz="0" w:space="0" w:color="auto"/>
                <w:right w:val="none" w:sz="0" w:space="0" w:color="auto"/>
              </w:divBdr>
              <w:divsChild>
                <w:div w:id="877476962">
                  <w:marLeft w:val="0"/>
                  <w:marRight w:val="0"/>
                  <w:marTop w:val="0"/>
                  <w:marBottom w:val="0"/>
                  <w:divBdr>
                    <w:top w:val="none" w:sz="0" w:space="0" w:color="auto"/>
                    <w:left w:val="none" w:sz="0" w:space="0" w:color="auto"/>
                    <w:bottom w:val="none" w:sz="0" w:space="0" w:color="auto"/>
                    <w:right w:val="none" w:sz="0" w:space="0" w:color="auto"/>
                  </w:divBdr>
                  <w:divsChild>
                    <w:div w:id="558710303">
                      <w:marLeft w:val="0"/>
                      <w:marRight w:val="0"/>
                      <w:marTop w:val="0"/>
                      <w:marBottom w:val="0"/>
                      <w:divBdr>
                        <w:top w:val="none" w:sz="0" w:space="0" w:color="auto"/>
                        <w:left w:val="none" w:sz="0" w:space="0" w:color="auto"/>
                        <w:bottom w:val="none" w:sz="0" w:space="0" w:color="auto"/>
                        <w:right w:val="none" w:sz="0" w:space="0" w:color="auto"/>
                      </w:divBdr>
                      <w:divsChild>
                        <w:div w:id="1348169263">
                          <w:marLeft w:val="0"/>
                          <w:marRight w:val="0"/>
                          <w:marTop w:val="0"/>
                          <w:marBottom w:val="0"/>
                          <w:divBdr>
                            <w:top w:val="none" w:sz="0" w:space="0" w:color="auto"/>
                            <w:left w:val="none" w:sz="0" w:space="0" w:color="auto"/>
                            <w:bottom w:val="none" w:sz="0" w:space="0" w:color="auto"/>
                            <w:right w:val="none" w:sz="0" w:space="0" w:color="auto"/>
                          </w:divBdr>
                          <w:divsChild>
                            <w:div w:id="3269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289144">
          <w:marLeft w:val="0"/>
          <w:marRight w:val="0"/>
          <w:marTop w:val="0"/>
          <w:marBottom w:val="0"/>
          <w:divBdr>
            <w:top w:val="none" w:sz="0" w:space="0" w:color="auto"/>
            <w:left w:val="none" w:sz="0" w:space="0" w:color="auto"/>
            <w:bottom w:val="none" w:sz="0" w:space="0" w:color="auto"/>
            <w:right w:val="none" w:sz="0" w:space="0" w:color="auto"/>
          </w:divBdr>
          <w:divsChild>
            <w:div w:id="120521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teralytics.net/" TargetMode="External"/><Relationship Id="rId18" Type="http://schemas.openxmlformats.org/officeDocument/2006/relationships/hyperlink" Target="https://youtu.be/w020G4NU0ps" TargetMode="Externa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youtu.be/w020G4NU0ps"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teralytics.net/" TargetMode="External"/><Relationship Id="rId22" Type="http://schemas.openxmlformats.org/officeDocument/2006/relationships/hyperlink" Target="https://www.thelancet.com/journals/laninf/article/PIIS1473-3099(20)30553-3/fullte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5247</Words>
  <Characters>29911</Characters>
  <Application>Microsoft Office Word</Application>
  <DocSecurity>0</DocSecurity>
  <Lines>249</Lines>
  <Paragraphs>70</Paragraphs>
  <ScaleCrop>false</ScaleCrop>
  <Company/>
  <LinksUpToDate>false</LinksUpToDate>
  <CharactersWithSpaces>35088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Association between mobility patterns and COVID-19 transmission in the USA: a mathematical modelling study</dc:title>
  <dc:subject>The Lancet Infectious Diseases, 20 (2020) 1247-1254. doi:10.1016/S1473-3099(20)30553-3</dc:subject>
  <dc:creator>Hamada S Badr PhD</dc:creator>
  <cp:keywords/>
  <cp:lastModifiedBy>Windows User</cp:lastModifiedBy>
  <cp:revision>3</cp:revision>
  <dcterms:created xsi:type="dcterms:W3CDTF">2021-01-30T06:25:00Z</dcterms:created>
  <dcterms:modified xsi:type="dcterms:W3CDTF">2021-01-30T06:26:00Z</dcterms:modified>
</cp:coreProperties>
</file>